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9" w:name="_GoBack"/>
      <w:bookmarkEnd w:id="9"/>
      <w:bookmarkStart w:id="0" w:name="OLE_LINK16"/>
      <w:bookmarkStart w:id="1" w:name="OLE_LINK1"/>
      <w:bookmarkStart w:id="2" w:name="OLE_LINK2"/>
      <w:bookmarkStart w:id="3" w:name="OLE_LINK15"/>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107-e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2111075</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w:t>
      </w:r>
      <w:r>
        <w:rPr>
          <w:rFonts w:hint="eastAsia" w:eastAsia="宋体" w:cs="Arial"/>
          <w:b/>
          <w:bCs/>
          <w:sz w:val="22"/>
          <w:szCs w:val="22"/>
          <w:lang w:val="en-US" w:eastAsia="zh-CN"/>
        </w:rPr>
        <w:t xml:space="preserve"> November</w:t>
      </w:r>
      <w:r>
        <w:rPr>
          <w:rFonts w:eastAsia="宋体" w:cs="Arial"/>
          <w:b/>
          <w:bCs/>
          <w:sz w:val="22"/>
          <w:szCs w:val="22"/>
          <w:lang w:val="en-US" w:eastAsia="zh-CN"/>
        </w:rPr>
        <w:t xml:space="preserve"> </w:t>
      </w:r>
      <w:r>
        <w:rPr>
          <w:rFonts w:hint="eastAsia" w:eastAsia="宋体" w:cs="Arial"/>
          <w:b/>
          <w:bCs/>
          <w:sz w:val="22"/>
          <w:szCs w:val="22"/>
          <w:lang w:val="en-US" w:eastAsia="zh-CN"/>
        </w:rPr>
        <w:t>11</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19</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21</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the PDCCH monitoring enhancements for 52.6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8.2.2</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pacing w:line="260" w:lineRule="auto"/>
        <w:jc w:val="both"/>
        <w:rPr>
          <w:rFonts w:eastAsia="宋体"/>
          <w:bCs/>
          <w:lang w:val="en-US" w:eastAsia="zh-CN"/>
        </w:rPr>
      </w:pPr>
      <w:r>
        <w:rPr>
          <w:bCs/>
        </w:rPr>
        <w:t xml:space="preserve">According to the outcome of the study item on </w:t>
      </w:r>
      <w:r>
        <w:rPr>
          <w:rFonts w:hint="eastAsia" w:eastAsia="宋体"/>
          <w:bCs/>
          <w:lang w:val="en-US" w:eastAsia="zh-CN"/>
        </w:rPr>
        <w:t>s</w:t>
      </w:r>
      <w:r>
        <w:rPr>
          <w:bCs/>
        </w:rPr>
        <w:t>upporting NR above 52.6</w:t>
      </w:r>
      <w:r>
        <w:rPr>
          <w:rFonts w:hint="eastAsia" w:eastAsia="宋体"/>
          <w:bCs/>
          <w:lang w:val="en-US" w:eastAsia="zh-CN"/>
        </w:rPr>
        <w:t xml:space="preserve"> </w:t>
      </w:r>
      <w:r>
        <w:rPr>
          <w:bCs/>
        </w:rPr>
        <w:t xml:space="preserve">GHz </w:t>
      </w:r>
      <w:r>
        <w:rPr>
          <w:rFonts w:hint="eastAsia" w:eastAsia="宋体"/>
          <w:bCs/>
          <w:lang w:val="en-US" w:eastAsia="zh-CN"/>
        </w:rPr>
        <w:t>[1]</w:t>
      </w:r>
      <w:r>
        <w:rPr>
          <w:bCs/>
        </w:rPr>
        <w:t xml:space="preserve">, </w:t>
      </w:r>
      <w:r>
        <w:rPr>
          <w:rFonts w:hint="eastAsia" w:eastAsia="宋体"/>
          <w:bCs/>
          <w:lang w:val="en-US" w:eastAsia="zh-CN"/>
        </w:rPr>
        <w:t>in</w:t>
      </w:r>
      <w:r>
        <w:rPr>
          <w:rFonts w:hint="eastAsia"/>
          <w:lang w:val="en-US" w:eastAsia="zh-CN"/>
        </w:rPr>
        <w:t xml:space="preserve"> 3GPP RAN #91 plenary e-meeting in March 2021, </w:t>
      </w:r>
      <w:r>
        <w:rPr>
          <w:rFonts w:hint="eastAsia" w:eastAsia="宋体"/>
          <w:bCs/>
          <w:lang w:val="en-US" w:eastAsia="zh-CN"/>
        </w:rPr>
        <w:t xml:space="preserve">an update WID </w:t>
      </w:r>
      <w:r>
        <w:rPr>
          <w:rFonts w:hint="eastAsia"/>
          <w:lang w:val="en-US" w:eastAsia="zh-CN"/>
        </w:rPr>
        <w:t>RP-210862 [2] was approved</w:t>
      </w:r>
      <w:r>
        <w:rPr>
          <w:rFonts w:hint="eastAsia" w:eastAsia="宋体"/>
          <w:bCs/>
          <w:lang w:val="en-US" w:eastAsia="zh-CN"/>
        </w:rPr>
        <w:t xml:space="preserve"> to extend NR operation up to 71 GHz considering both licensed and unlicensed operation. In the WID, some objectives related to PDCCH monitoring enhancements were given and are excerpted as follows. </w:t>
      </w:r>
    </w:p>
    <w:p>
      <w:pPr>
        <w:pStyle w:val="51"/>
        <w:numPr>
          <w:ilvl w:val="0"/>
          <w:numId w:val="11"/>
        </w:numPr>
        <w:spacing w:after="0" w:line="260" w:lineRule="auto"/>
        <w:rPr>
          <w:lang w:eastAsia="ja-JP"/>
        </w:rPr>
      </w:pPr>
      <w:r>
        <w:rPr>
          <w:rFonts w:hint="eastAsia"/>
          <w:lang w:eastAsia="ja-JP"/>
        </w:rPr>
        <w:t>Physical layer aspects</w:t>
      </w:r>
      <w:r>
        <w:rPr>
          <w:lang w:eastAsia="ja-JP"/>
        </w:rPr>
        <w:t xml:space="preserve"> including [RAN1]</w:t>
      </w:r>
      <w:r>
        <w:rPr>
          <w:rFonts w:hint="eastAsia"/>
          <w:lang w:eastAsia="ja-JP"/>
        </w:rPr>
        <w:t>:</w:t>
      </w:r>
    </w:p>
    <w:p>
      <w:pPr>
        <w:pStyle w:val="51"/>
        <w:numPr>
          <w:ilvl w:val="1"/>
          <w:numId w:val="11"/>
        </w:numPr>
        <w:spacing w:after="0" w:line="260" w:lineRule="auto"/>
        <w:rPr>
          <w:lang w:eastAsia="ja-JP"/>
        </w:rPr>
      </w:pPr>
      <w:bookmarkStart w:id="5" w:name="_Hlk58583563"/>
      <w:bookmarkStart w:id="6"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5"/>
      <w:r>
        <w:rPr>
          <w:lang w:eastAsia="ja-JP"/>
        </w:rPr>
        <w:t xml:space="preserve">. </w:t>
      </w:r>
    </w:p>
    <w:p>
      <w:pPr>
        <w:pStyle w:val="51"/>
        <w:spacing w:after="0" w:line="260" w:lineRule="auto"/>
        <w:ind w:left="1440" w:firstLine="0"/>
        <w:rPr>
          <w:lang w:eastAsia="ja-JP"/>
        </w:rPr>
      </w:pPr>
      <w:bookmarkStart w:id="7" w:name="_Hlk58594267"/>
      <w:r>
        <w:rPr>
          <w:lang w:eastAsia="ja-JP"/>
        </w:rPr>
        <w:t>Note: Except for timing line related aspects, a common design framework shall be adopted for 480kHz to 960kHz</w:t>
      </w:r>
    </w:p>
    <w:bookmarkEnd w:id="6"/>
    <w:bookmarkEnd w:id="7"/>
    <w:p>
      <w:pPr>
        <w:pStyle w:val="51"/>
        <w:numPr>
          <w:ilvl w:val="1"/>
          <w:numId w:val="11"/>
        </w:numPr>
        <w:spacing w:line="260" w:lineRule="auto"/>
        <w:ind w:left="1446" w:hanging="363"/>
        <w:rPr>
          <w:lang w:eastAsia="zh-CN"/>
        </w:rPr>
      </w:pPr>
      <w:bookmarkStart w:id="8" w:name="_Hlk58595024"/>
      <w:r>
        <w:rPr>
          <w:lang w:eastAsia="zh-CN"/>
        </w:rPr>
        <w:t>Support enhancement to PDCCH monitoring, including blind detection/CCE budget, and multi-slot span monitoring, potential limitation to UE PDCCH configuration and capability related to PDCCH monitoring.</w:t>
      </w:r>
    </w:p>
    <w:p>
      <w:pPr>
        <w:spacing w:line="260" w:lineRule="auto"/>
        <w:jc w:val="both"/>
        <w:rPr>
          <w:rFonts w:hint="eastAsia"/>
          <w:lang w:val="en-US"/>
        </w:rPr>
      </w:pPr>
      <w:r>
        <w:rPr>
          <w:rFonts w:hint="eastAsia"/>
          <w:lang w:val="en-US"/>
        </w:rPr>
        <w:t>In the RAN1 #10</w:t>
      </w:r>
      <w:r>
        <w:rPr>
          <w:rFonts w:hint="eastAsia" w:eastAsia="宋体"/>
          <w:lang w:val="en-US" w:eastAsia="zh-CN"/>
        </w:rPr>
        <w:t>6bis</w:t>
      </w:r>
      <w:r>
        <w:rPr>
          <w:rFonts w:hint="eastAsia"/>
          <w:lang w:val="en-US"/>
        </w:rPr>
        <w:t xml:space="preserve"> e-meeting in </w:t>
      </w:r>
      <w:r>
        <w:rPr>
          <w:rFonts w:hint="eastAsia" w:eastAsia="宋体"/>
          <w:lang w:val="en-US" w:eastAsia="zh-CN"/>
        </w:rPr>
        <w:t>October</w:t>
      </w:r>
      <w:r>
        <w:rPr>
          <w:rFonts w:hint="eastAsia"/>
          <w:lang w:val="en-US"/>
        </w:rPr>
        <w:t xml:space="preserve"> 2021, the following agreement related to </w:t>
      </w:r>
      <w:r>
        <w:rPr>
          <w:rFonts w:hint="eastAsia" w:eastAsia="宋体"/>
          <w:lang w:val="en-US" w:eastAsia="zh-CN"/>
        </w:rPr>
        <w:t>PDCCH monitoring</w:t>
      </w:r>
      <w:r>
        <w:rPr>
          <w:rFonts w:hint="eastAsia"/>
          <w:lang w:val="en-US"/>
        </w:rPr>
        <w:t xml:space="preserve"> w</w:t>
      </w:r>
      <w:r>
        <w:rPr>
          <w:rFonts w:hint="eastAsia" w:eastAsia="宋体"/>
          <w:lang w:val="en-US" w:eastAsia="zh-CN"/>
        </w:rPr>
        <w:t>as</w:t>
      </w:r>
      <w:r>
        <w:rPr>
          <w:rFonts w:hint="eastAsia"/>
          <w:lang w:val="en-US"/>
        </w:rPr>
        <w:t xml:space="preserve"> reached.</w:t>
      </w:r>
    </w:p>
    <w:p>
      <w:pPr>
        <w:spacing w:after="0" w:line="260" w:lineRule="auto"/>
      </w:pPr>
      <w:r>
        <w:rPr>
          <w:rFonts w:hint="eastAsia"/>
          <w:lang w:val="en-US"/>
        </w:rPr>
        <w:t xml:space="preserve"> </w:t>
      </w:r>
      <w:r>
        <w:rPr>
          <w:highlight w:val="green"/>
        </w:rPr>
        <w:t>Agreement:</w:t>
      </w:r>
    </w:p>
    <w:p>
      <w:pPr>
        <w:numPr>
          <w:ilvl w:val="0"/>
          <w:numId w:val="12"/>
        </w:numPr>
        <w:spacing w:after="0" w:line="260" w:lineRule="auto"/>
        <w:rPr>
          <w:b/>
          <w:bCs/>
        </w:rPr>
      </w:pPr>
      <w:r>
        <w:t>Multi-slot PDCCH monitoring is based on slots within a slot group</w:t>
      </w:r>
    </w:p>
    <w:p>
      <w:pPr>
        <w:numPr>
          <w:ilvl w:val="1"/>
          <w:numId w:val="12"/>
        </w:numPr>
        <w:spacing w:after="0" w:line="260" w:lineRule="auto"/>
        <w:rPr>
          <w:lang w:val="en-US"/>
        </w:rPr>
      </w:pPr>
      <w:r>
        <w:rPr>
          <w:lang w:val="en-US"/>
        </w:rPr>
        <w:t>Each slot group consists of X consecutive slots</w:t>
      </w:r>
    </w:p>
    <w:p>
      <w:pPr>
        <w:numPr>
          <w:ilvl w:val="2"/>
          <w:numId w:val="12"/>
        </w:numPr>
        <w:spacing w:after="0" w:line="260" w:lineRule="auto"/>
        <w:rPr>
          <w:lang w:val="en-US"/>
        </w:rPr>
      </w:pPr>
      <w:r>
        <w:rPr>
          <w:lang w:val="en-US"/>
        </w:rPr>
        <w:t>Slot groups are consecutive and non-overlapping</w:t>
      </w:r>
    </w:p>
    <w:p>
      <w:pPr>
        <w:numPr>
          <w:ilvl w:val="2"/>
          <w:numId w:val="12"/>
        </w:numPr>
        <w:spacing w:after="0" w:line="260" w:lineRule="auto"/>
        <w:rPr>
          <w:lang w:val="en-US"/>
        </w:rPr>
      </w:pPr>
      <w:r>
        <w:rPr>
          <w:lang w:val="en-US"/>
        </w:rPr>
        <w:t>The start of the first slot group in a subframe is aligned with the subframe boundary</w:t>
      </w:r>
    </w:p>
    <w:p>
      <w:pPr>
        <w:numPr>
          <w:ilvl w:val="2"/>
          <w:numId w:val="12"/>
        </w:numPr>
        <w:spacing w:after="0" w:line="260" w:lineRule="auto"/>
        <w:rPr>
          <w:lang w:val="en-US"/>
        </w:rPr>
      </w:pPr>
      <w:r>
        <w:rPr>
          <w:lang w:val="en-US"/>
        </w:rPr>
        <w:t>The start of each slot group is aligned with a slot boundary</w:t>
      </w:r>
    </w:p>
    <w:p>
      <w:pPr>
        <w:numPr>
          <w:ilvl w:val="2"/>
          <w:numId w:val="12"/>
        </w:numPr>
        <w:spacing w:after="0" w:line="260" w:lineRule="auto"/>
      </w:pPr>
      <w:r>
        <w:t xml:space="preserve">Reporting the </w:t>
      </w:r>
      <w:r>
        <w:rPr>
          <w:lang w:val="en-US"/>
        </w:rPr>
        <w:t>BD/CCE budget</w:t>
      </w:r>
      <w:r>
        <w:t xml:space="preserve"> for X=4/8 slots (for 480/960 kHz resp.) is mandatory (if UE supports the corresponding SCS), and is optional for X=</w:t>
      </w:r>
      <w:r>
        <w:rPr>
          <w:highlight w:val="none"/>
        </w:rPr>
        <w:t xml:space="preserve">[2]/4 </w:t>
      </w:r>
      <w:r>
        <w:t>slots (for 480/960 kHz resp.)</w:t>
      </w:r>
    </w:p>
    <w:p>
      <w:pPr>
        <w:numPr>
          <w:ilvl w:val="0"/>
          <w:numId w:val="12"/>
        </w:numPr>
        <w:spacing w:after="0" w:line="260" w:lineRule="auto"/>
      </w:pPr>
      <w:r>
        <w:t>There is a common BD budget for all search spaces</w:t>
      </w:r>
    </w:p>
    <w:p>
      <w:pPr>
        <w:numPr>
          <w:ilvl w:val="0"/>
          <w:numId w:val="12"/>
        </w:numPr>
        <w:spacing w:after="0" w:line="260" w:lineRule="auto"/>
      </w:pPr>
      <w:r>
        <w:t>FFS: Search space configuration</w:t>
      </w:r>
    </w:p>
    <w:p>
      <w:pPr>
        <w:numPr>
          <w:ilvl w:val="1"/>
          <w:numId w:val="12"/>
        </w:numPr>
        <w:spacing w:after="0" w:line="260" w:lineRule="auto"/>
        <w:rPr>
          <w:lang w:val="en-US"/>
        </w:rPr>
      </w:pPr>
      <w:r>
        <w:rPr>
          <w:rFonts w:hint="eastAsia"/>
          <w:lang w:val="en-US"/>
        </w:rPr>
        <w:t>F</w:t>
      </w:r>
      <w:r>
        <w:rPr>
          <w:lang w:val="en-US"/>
        </w:rPr>
        <w:t>or Group (1) SS</w:t>
      </w:r>
    </w:p>
    <w:p>
      <w:pPr>
        <w:numPr>
          <w:ilvl w:val="2"/>
          <w:numId w:val="12"/>
        </w:numPr>
        <w:spacing w:after="0" w:line="260" w:lineRule="auto"/>
      </w:pPr>
      <w:r>
        <w:t>A SS is configured to be within Y</w:t>
      </w:r>
      <w:r>
        <w:rPr>
          <w:vertAlign w:val="subscript"/>
        </w:rPr>
        <w:t>Group1</w:t>
      </w:r>
      <w:r>
        <w:t xml:space="preserve"> consecutive slots within a slot group of X slots</w:t>
      </w:r>
    </w:p>
    <w:p>
      <w:pPr>
        <w:numPr>
          <w:ilvl w:val="2"/>
          <w:numId w:val="12"/>
        </w:numPr>
        <w:spacing w:after="0" w:line="260" w:lineRule="auto"/>
        <w:rPr>
          <w:lang w:val="en-US"/>
        </w:rPr>
      </w:pPr>
      <w:r>
        <w:rPr>
          <w:lang w:val="en-US"/>
        </w:rPr>
        <w:t xml:space="preserve">The location of the </w:t>
      </w:r>
      <w:r>
        <w:t>Y</w:t>
      </w:r>
      <w:r>
        <w:rPr>
          <w:vertAlign w:val="subscript"/>
        </w:rPr>
        <w:t>Group1</w:t>
      </w:r>
      <w:r>
        <w:t xml:space="preserve"> </w:t>
      </w:r>
      <w:r>
        <w:rPr>
          <w:lang w:val="en-US"/>
        </w:rPr>
        <w:t xml:space="preserve">consecutive slots within a slot group of X slots is based on a time offset within the slot group based on slot index n0 determined for Group (2) monitoring such that the </w:t>
      </w:r>
      <w:r>
        <w:t>Y</w:t>
      </w:r>
      <w:r>
        <w:rPr>
          <w:vertAlign w:val="subscript"/>
        </w:rPr>
        <w:t>Group1</w:t>
      </w:r>
      <w:r>
        <w:t xml:space="preserve"> </w:t>
      </w:r>
      <w:r>
        <w:rPr>
          <w:lang w:val="en-US"/>
        </w:rPr>
        <w:t xml:space="preserve">slots overlap the </w:t>
      </w:r>
      <w:r>
        <w:t>Y</w:t>
      </w:r>
      <w:r>
        <w:rPr>
          <w:vertAlign w:val="subscript"/>
        </w:rPr>
        <w:t>Group2</w:t>
      </w:r>
      <w:r>
        <w:t xml:space="preserve"> </w:t>
      </w:r>
      <w:r>
        <w:rPr>
          <w:lang w:val="en-US"/>
        </w:rPr>
        <w:t>slots</w:t>
      </w:r>
    </w:p>
    <w:p>
      <w:pPr>
        <w:numPr>
          <w:ilvl w:val="2"/>
          <w:numId w:val="12"/>
        </w:numPr>
        <w:spacing w:after="0" w:line="260" w:lineRule="auto"/>
        <w:rPr>
          <w:lang w:val="en-US"/>
        </w:rPr>
      </w:pPr>
      <w:r>
        <w:rPr>
          <w:lang w:val="en-US"/>
        </w:rPr>
        <w:t xml:space="preserve">The location of the </w:t>
      </w:r>
      <w:r>
        <w:t>Y</w:t>
      </w:r>
      <w:r>
        <w:rPr>
          <w:vertAlign w:val="subscript"/>
        </w:rPr>
        <w:t>Group1</w:t>
      </w:r>
      <w:r>
        <w:t xml:space="preserve"> </w:t>
      </w:r>
      <w:r>
        <w:rPr>
          <w:lang w:val="en-US"/>
        </w:rPr>
        <w:t xml:space="preserve">consecutive slots within a </w:t>
      </w:r>
      <w:r>
        <w:t>slot group of X slots</w:t>
      </w:r>
      <w:r>
        <w:rPr>
          <w:lang w:val="en-US"/>
        </w:rPr>
        <w:t xml:space="preserve"> is maintained across different slot groups (unless n0 changes)</w:t>
      </w:r>
    </w:p>
    <w:p>
      <w:pPr>
        <w:numPr>
          <w:ilvl w:val="2"/>
          <w:numId w:val="12"/>
        </w:numPr>
        <w:spacing w:after="0" w:line="260" w:lineRule="auto"/>
        <w:rPr>
          <w:lang w:val="en-US"/>
        </w:rPr>
      </w:pPr>
      <w:r>
        <w:t>BD attempts for all Group (1) SSs are restricted to fall within the same Y</w:t>
      </w:r>
      <w:r>
        <w:rPr>
          <w:vertAlign w:val="subscript"/>
        </w:rPr>
        <w:t>Group1</w:t>
      </w:r>
      <w:r>
        <w:t xml:space="preserve"> consecutive slots</w:t>
      </w:r>
    </w:p>
    <w:p>
      <w:pPr>
        <w:numPr>
          <w:ilvl w:val="1"/>
          <w:numId w:val="12"/>
        </w:numPr>
        <w:spacing w:after="0" w:line="260" w:lineRule="auto"/>
        <w:rPr>
          <w:lang w:val="en-US"/>
        </w:rPr>
      </w:pPr>
      <w:r>
        <w:rPr>
          <w:rFonts w:hint="eastAsia"/>
          <w:lang w:val="en-US"/>
        </w:rPr>
        <w:t>F</w:t>
      </w:r>
      <w:r>
        <w:rPr>
          <w:lang w:val="en-US"/>
        </w:rPr>
        <w:t>or Group (2) SS</w:t>
      </w:r>
    </w:p>
    <w:p>
      <w:pPr>
        <w:numPr>
          <w:ilvl w:val="2"/>
          <w:numId w:val="12"/>
        </w:numPr>
        <w:spacing w:after="0" w:line="260" w:lineRule="auto"/>
        <w:rPr>
          <w:lang w:val="en-US"/>
        </w:rPr>
      </w:pPr>
      <w:r>
        <w:t>A SS is configured to be within Y</w:t>
      </w:r>
      <w:r>
        <w:rPr>
          <w:vertAlign w:val="subscript"/>
        </w:rPr>
        <w:t>Group2</w:t>
      </w:r>
      <w:r>
        <w:t xml:space="preserve"> consecutive slots within a slot group of X slots</w:t>
      </w:r>
    </w:p>
    <w:p>
      <w:pPr>
        <w:numPr>
          <w:ilvl w:val="2"/>
          <w:numId w:val="12"/>
        </w:numPr>
        <w:spacing w:after="0" w:line="260" w:lineRule="auto"/>
        <w:rPr>
          <w:lang w:val="en-US"/>
        </w:rPr>
      </w:pPr>
      <w:r>
        <w:rPr>
          <w:lang w:val="en-US"/>
        </w:rPr>
        <w:t xml:space="preserve">The location of the </w:t>
      </w:r>
      <w:r>
        <w:t>Y</w:t>
      </w:r>
      <w:r>
        <w:rPr>
          <w:vertAlign w:val="subscript"/>
        </w:rPr>
        <w:t>Group2</w:t>
      </w:r>
      <w:r>
        <w:t xml:space="preserve"> </w:t>
      </w:r>
      <w:r>
        <w:rPr>
          <w:lang w:val="en-US"/>
        </w:rPr>
        <w:t>consecutive slots within a slot group of X slots is maintained across different slot groups (unless n0 changes)</w:t>
      </w:r>
    </w:p>
    <w:p>
      <w:pPr>
        <w:numPr>
          <w:ilvl w:val="1"/>
          <w:numId w:val="12"/>
        </w:numPr>
        <w:spacing w:after="0" w:line="260" w:lineRule="auto"/>
      </w:pPr>
      <w:r>
        <w:rPr>
          <w:lang w:val="en-US"/>
        </w:rPr>
        <w:t>The reported capability indicates the BD/CCE budget within Y=max(</w:t>
      </w:r>
      <w:r>
        <w:t>Y</w:t>
      </w:r>
      <w:r>
        <w:rPr>
          <w:vertAlign w:val="subscript"/>
        </w:rPr>
        <w:t>Group1</w:t>
      </w:r>
      <w:r>
        <w:t>, 2</w:t>
      </w:r>
      <w:r>
        <w:rPr>
          <w:lang w:val="en-US"/>
        </w:rPr>
        <w:t>) slots per slot group</w:t>
      </w:r>
    </w:p>
    <w:p>
      <w:pPr>
        <w:numPr>
          <w:ilvl w:val="1"/>
          <w:numId w:val="12"/>
        </w:numPr>
        <w:spacing w:after="0" w:line="260" w:lineRule="auto"/>
      </w:pPr>
      <w:r>
        <w:t>Support the following values of Y</w:t>
      </w:r>
      <w:r>
        <w:rPr>
          <w:vertAlign w:val="subscript"/>
        </w:rPr>
        <w:t>Group1</w:t>
      </w:r>
      <w:r>
        <w:t xml:space="preserve"> and Y</w:t>
      </w:r>
      <w:r>
        <w:rPr>
          <w:vertAlign w:val="subscript"/>
        </w:rPr>
        <w:t>Group2</w:t>
      </w:r>
    </w:p>
    <w:p>
      <w:pPr>
        <w:numPr>
          <w:ilvl w:val="2"/>
          <w:numId w:val="12"/>
        </w:numPr>
        <w:spacing w:after="0" w:line="260" w:lineRule="auto"/>
      </w:pPr>
      <w:r>
        <w:t>For X=8: (Y</w:t>
      </w:r>
      <w:r>
        <w:rPr>
          <w:vertAlign w:val="subscript"/>
        </w:rPr>
        <w:t>Group1</w:t>
      </w:r>
      <w:r>
        <w:t>,Y</w:t>
      </w:r>
      <w:r>
        <w:rPr>
          <w:vertAlign w:val="subscript"/>
        </w:rPr>
        <w:t>Group2</w:t>
      </w:r>
      <w:r>
        <w:t>) = (4,2), (2,2), (1,[1 or 2])</w:t>
      </w:r>
    </w:p>
    <w:p>
      <w:pPr>
        <w:numPr>
          <w:ilvl w:val="2"/>
          <w:numId w:val="12"/>
        </w:numPr>
        <w:spacing w:after="0" w:line="260" w:lineRule="auto"/>
      </w:pPr>
      <w:r>
        <w:t>For X=4: (Y</w:t>
      </w:r>
      <w:r>
        <w:rPr>
          <w:vertAlign w:val="subscript"/>
        </w:rPr>
        <w:t>Group1</w:t>
      </w:r>
      <w:r>
        <w:t>,Y</w:t>
      </w:r>
      <w:r>
        <w:rPr>
          <w:vertAlign w:val="subscript"/>
        </w:rPr>
        <w:t>Group2</w:t>
      </w:r>
      <w:r>
        <w:t>) = (2,2), (1,[1 or 2])</w:t>
      </w:r>
    </w:p>
    <w:p>
      <w:pPr>
        <w:numPr>
          <w:ilvl w:val="2"/>
          <w:numId w:val="12"/>
        </w:numPr>
        <w:spacing w:after="0" w:line="260" w:lineRule="auto"/>
      </w:pPr>
      <w:r>
        <w:t>For X=2: (Y</w:t>
      </w:r>
      <w:r>
        <w:rPr>
          <w:vertAlign w:val="subscript"/>
        </w:rPr>
        <w:t>Group1</w:t>
      </w:r>
      <w:r>
        <w:t>,Y</w:t>
      </w:r>
      <w:r>
        <w:rPr>
          <w:vertAlign w:val="subscript"/>
        </w:rPr>
        <w:t>Group2</w:t>
      </w:r>
      <w:r>
        <w:t>) = (1,[1 or 2])</w:t>
      </w:r>
    </w:p>
    <w:p>
      <w:pPr>
        <w:numPr>
          <w:ilvl w:val="1"/>
          <w:numId w:val="12"/>
        </w:numPr>
        <w:spacing w:after="0" w:line="260" w:lineRule="auto"/>
      </w:pPr>
      <w:r>
        <w:t>Group (1) SS: Type 1 CSS with dedicated RRC configuration and type 3 CSS, UE specific SS</w:t>
      </w:r>
    </w:p>
    <w:p>
      <w:pPr>
        <w:numPr>
          <w:ilvl w:val="1"/>
          <w:numId w:val="12"/>
        </w:numPr>
        <w:spacing w:after="0" w:line="260" w:lineRule="auto"/>
      </w:pPr>
      <w:r>
        <w:t>Group (2) SS: Type 1 CSS without dedicated RRC configuration and type 0, 0A, and 2 CSS</w:t>
      </w:r>
    </w:p>
    <w:p>
      <w:pPr>
        <w:spacing w:after="0" w:line="240" w:lineRule="auto"/>
        <w:rPr>
          <w:rFonts w:hint="eastAsia"/>
          <w:lang w:eastAsia="zh-CN"/>
        </w:rPr>
      </w:pPr>
      <w:r>
        <w:rPr>
          <w:rFonts w:hint="eastAsia"/>
          <w:lang w:eastAsia="zh-CN"/>
        </w:rPr>
        <w:t>Group (1) SS: Type 1 CSS with dedicated RRC configuration and type 3 CSS, UE specific SS</w:t>
      </w:r>
    </w:p>
    <w:p>
      <w:pPr>
        <w:spacing w:after="0" w:line="240" w:lineRule="auto"/>
        <w:rPr>
          <w:sz w:val="20"/>
          <w:szCs w:val="20"/>
          <w:lang w:eastAsia="zh-CN"/>
        </w:rPr>
      </w:pPr>
      <w:r>
        <w:rPr>
          <w:rFonts w:hint="eastAsia"/>
          <w:lang w:eastAsia="zh-CN"/>
        </w:rPr>
        <w:t>Group (2) SS: Type 1 CSS without dedicated RRC configuration and type 0, 0A, and 2 CSS</w:t>
      </w:r>
    </w:p>
    <w:p>
      <w:pPr>
        <w:spacing w:before="180" w:line="260" w:lineRule="auto"/>
        <w:jc w:val="both"/>
        <w:rPr>
          <w:rFonts w:eastAsia="宋体"/>
          <w:bCs/>
          <w:lang w:val="en-US" w:eastAsia="zh-CN"/>
        </w:rPr>
      </w:pPr>
      <w:r>
        <w:rPr>
          <w:rFonts w:hint="eastAsia" w:eastAsia="宋体"/>
          <w:bCs/>
          <w:lang w:val="en-US" w:eastAsia="zh-CN"/>
        </w:rPr>
        <w:t>In this contribution, we give our views on PDCCH monitoring enhancements for NR between 52.6 GHz ~ 71 GHz.</w:t>
      </w:r>
    </w:p>
    <w:bookmarkEnd w:id="8"/>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PDCCH monitoring enhancements</w:t>
      </w:r>
    </w:p>
    <w:p>
      <w:pPr>
        <w:pStyle w:val="3"/>
        <w:numPr>
          <w:ilvl w:val="1"/>
          <w:numId w:val="0"/>
        </w:numPr>
        <w:snapToGrid w:val="0"/>
        <w:spacing w:after="240" w:line="260" w:lineRule="auto"/>
        <w:rPr>
          <w:rFonts w:hint="default" w:ascii="Times New Roman" w:hAnsi="Times New Roman" w:eastAsia="宋体"/>
          <w:b/>
          <w:bCs w:val="0"/>
          <w:lang w:val="en-US" w:eastAsia="zh-CN"/>
        </w:rPr>
      </w:pPr>
      <w:r>
        <w:rPr>
          <w:rFonts w:ascii="Times New Roman" w:hAnsi="Times New Roman"/>
          <w:b/>
          <w:bCs w:val="0"/>
          <w:lang w:val="en-US"/>
        </w:rPr>
        <w:t xml:space="preserve">2.1 </w:t>
      </w:r>
      <w:r>
        <w:rPr>
          <w:rFonts w:ascii="Times New Roman" w:hAnsi="Times New Roman"/>
          <w:b/>
          <w:bCs w:val="0"/>
          <w:lang w:val="en-US"/>
        </w:rPr>
        <w:tab/>
      </w:r>
      <w:r>
        <w:rPr>
          <w:rFonts w:hint="eastAsia" w:ascii="Times New Roman" w:hAnsi="Times New Roman" w:eastAsia="宋体"/>
          <w:b/>
          <w:bCs w:val="0"/>
          <w:lang w:val="en-US" w:eastAsia="zh-CN"/>
        </w:rPr>
        <w:t>Multi-slot PDCCH monitoring capability</w:t>
      </w:r>
    </w:p>
    <w:p>
      <w:pPr>
        <w:jc w:val="both"/>
        <w:rPr>
          <w:rFonts w:hint="eastAsia" w:eastAsia="宋体"/>
          <w:bCs/>
          <w:lang w:val="en-US" w:eastAsia="zh-CN"/>
        </w:rPr>
      </w:pPr>
      <w:r>
        <w:rPr>
          <w:rFonts w:hint="eastAsia" w:eastAsia="宋体"/>
          <w:bCs/>
          <w:lang w:val="en-US" w:eastAsia="zh-CN"/>
        </w:rPr>
        <w:t xml:space="preserve">In Rel-15/16 NR, </w:t>
      </w:r>
      <w:r>
        <w:rPr>
          <w:lang w:eastAsia="zh-CN"/>
        </w:rPr>
        <w:t>the maximum number of non-overlapped CCEs</w:t>
      </w:r>
      <w:r>
        <w:rPr>
          <w:rFonts w:hint="eastAsia"/>
          <w:lang w:val="en-US" w:eastAsia="zh-CN"/>
        </w:rPr>
        <w:t xml:space="preserve"> and monitored </w:t>
      </w:r>
      <w:r>
        <w:t>PDCCH candidates</w:t>
      </w:r>
      <w:r>
        <w:rPr>
          <w:lang w:eastAsia="zh-CN"/>
        </w:rPr>
        <w:t xml:space="preserve"> per slot</w:t>
      </w:r>
      <w:r>
        <w:rPr>
          <w:rFonts w:hint="eastAsia"/>
          <w:lang w:val="en-US" w:eastAsia="zh-CN"/>
        </w:rPr>
        <w:t xml:space="preserve"> </w:t>
      </w:r>
      <w:r>
        <w:rPr>
          <w:bCs/>
          <w:lang w:eastAsia="ja-JP"/>
        </w:rPr>
        <w:t xml:space="preserve">for a DL BWP </w:t>
      </w:r>
      <w:r>
        <w:rPr>
          <w:rFonts w:hint="eastAsia" w:eastAsia="宋体"/>
          <w:bCs/>
          <w:lang w:val="en-US" w:eastAsia="zh-CN"/>
        </w:rPr>
        <w:t>of SCS 15~120 kHz</w:t>
      </w:r>
      <w:r>
        <w:rPr>
          <w:lang w:eastAsia="zh-CN"/>
        </w:rPr>
        <w:t xml:space="preserve"> decreases with increasing SCS</w:t>
      </w:r>
      <w:r>
        <w:rPr>
          <w:rFonts w:hint="eastAsia"/>
          <w:lang w:val="en-US" w:eastAsia="zh-CN"/>
        </w:rPr>
        <w:t xml:space="preserve"> respectively. </w:t>
      </w:r>
      <w:r>
        <w:rPr>
          <w:rFonts w:eastAsia="宋体"/>
          <w:bCs/>
          <w:lang w:val="en-US" w:eastAsia="zh-CN"/>
        </w:rPr>
        <w:t>For the newly introduced SCS i.e. 480</w:t>
      </w:r>
      <w:r>
        <w:rPr>
          <w:rFonts w:hint="eastAsia" w:eastAsia="宋体"/>
          <w:bCs/>
          <w:lang w:val="en-US" w:eastAsia="zh-CN"/>
        </w:rPr>
        <w:t>/</w:t>
      </w:r>
      <w:r>
        <w:rPr>
          <w:rFonts w:eastAsia="宋体"/>
          <w:bCs/>
          <w:lang w:val="en-US" w:eastAsia="zh-CN"/>
        </w:rPr>
        <w:t>960 kHz</w:t>
      </w:r>
      <w:r>
        <w:rPr>
          <w:rFonts w:hint="eastAsia" w:eastAsia="宋体"/>
          <w:bCs/>
          <w:lang w:val="en-US" w:eastAsia="zh-CN"/>
        </w:rPr>
        <w:t xml:space="preserve"> in Rel-17 NR above 52.6 GHz</w:t>
      </w:r>
      <w:r>
        <w:rPr>
          <w:rFonts w:eastAsia="宋体"/>
          <w:bCs/>
          <w:lang w:val="en-US" w:eastAsia="zh-CN"/>
        </w:rPr>
        <w:t xml:space="preserve">, the length </w:t>
      </w:r>
      <w:r>
        <w:rPr>
          <w:rFonts w:hint="eastAsia" w:eastAsia="宋体"/>
          <w:bCs/>
          <w:lang w:val="en-US" w:eastAsia="zh-CN"/>
        </w:rPr>
        <w:t xml:space="preserve">of the slot </w:t>
      </w:r>
      <w:r>
        <w:rPr>
          <w:rFonts w:eastAsia="宋体"/>
          <w:bCs/>
          <w:lang w:val="en-US" w:eastAsia="zh-CN"/>
        </w:rPr>
        <w:t xml:space="preserve">becomes shorter. If </w:t>
      </w:r>
      <w:r>
        <w:rPr>
          <w:rFonts w:hint="eastAsia" w:eastAsia="宋体"/>
          <w:bCs/>
          <w:lang w:val="en-US" w:eastAsia="zh-CN"/>
        </w:rPr>
        <w:t xml:space="preserve">a </w:t>
      </w:r>
      <w:r>
        <w:rPr>
          <w:rFonts w:eastAsia="宋体"/>
          <w:bCs/>
          <w:lang w:val="en-US" w:eastAsia="zh-CN"/>
        </w:rPr>
        <w:t xml:space="preserve">UE detects PDCCH in each slot, PDCCH </w:t>
      </w:r>
      <w:r>
        <w:rPr>
          <w:rFonts w:hint="eastAsia" w:eastAsia="宋体"/>
          <w:bCs/>
          <w:lang w:val="en-US" w:eastAsia="zh-CN"/>
        </w:rPr>
        <w:t xml:space="preserve">monitoring </w:t>
      </w:r>
      <w:r>
        <w:rPr>
          <w:rFonts w:eastAsia="宋体"/>
          <w:bCs/>
          <w:lang w:val="en-US" w:eastAsia="zh-CN"/>
        </w:rPr>
        <w:t>will be too frequent</w:t>
      </w:r>
      <w:r>
        <w:rPr>
          <w:rFonts w:hint="eastAsia" w:eastAsia="宋体"/>
          <w:bCs/>
          <w:lang w:val="en-US" w:eastAsia="zh-CN"/>
        </w:rPr>
        <w:t xml:space="preserve">, which </w:t>
      </w:r>
      <w:r>
        <w:rPr>
          <w:rFonts w:eastAsia="宋体"/>
          <w:bCs/>
          <w:lang w:val="en-US" w:eastAsia="zh-CN"/>
        </w:rPr>
        <w:t xml:space="preserve">will </w:t>
      </w:r>
      <w:r>
        <w:rPr>
          <w:rFonts w:hint="eastAsia" w:eastAsia="宋体"/>
          <w:bCs/>
          <w:lang w:val="en-US" w:eastAsia="zh-CN"/>
        </w:rPr>
        <w:t xml:space="preserve">not only </w:t>
      </w:r>
      <w:r>
        <w:rPr>
          <w:rFonts w:eastAsia="宋体"/>
          <w:bCs/>
          <w:lang w:val="en-US" w:eastAsia="zh-CN"/>
        </w:rPr>
        <w:t xml:space="preserve">increase the power consumption of </w:t>
      </w:r>
      <w:r>
        <w:rPr>
          <w:rFonts w:hint="eastAsia" w:eastAsia="宋体"/>
          <w:bCs/>
          <w:lang w:val="en-US" w:eastAsia="zh-CN"/>
        </w:rPr>
        <w:t xml:space="preserve">the </w:t>
      </w:r>
      <w:r>
        <w:rPr>
          <w:rFonts w:eastAsia="宋体"/>
          <w:bCs/>
          <w:lang w:val="en-US" w:eastAsia="zh-CN"/>
        </w:rPr>
        <w:t>UE</w:t>
      </w:r>
      <w:r>
        <w:rPr>
          <w:rFonts w:hint="eastAsia" w:eastAsia="宋体"/>
          <w:bCs/>
          <w:lang w:val="en-US" w:eastAsia="zh-CN"/>
        </w:rPr>
        <w:t xml:space="preserve">, but also increase </w:t>
      </w:r>
      <w:r>
        <w:rPr>
          <w:rFonts w:eastAsia="宋体"/>
          <w:bCs/>
          <w:lang w:val="en-US" w:eastAsia="zh-CN"/>
        </w:rPr>
        <w:t xml:space="preserve">the </w:t>
      </w:r>
      <w:r>
        <w:rPr>
          <w:rFonts w:hint="eastAsia" w:eastAsia="宋体"/>
          <w:bCs/>
          <w:lang w:val="en-US" w:eastAsia="zh-CN"/>
        </w:rPr>
        <w:t xml:space="preserve">UE detection </w:t>
      </w:r>
      <w:r>
        <w:rPr>
          <w:rFonts w:eastAsia="宋体"/>
          <w:bCs/>
          <w:lang w:val="en-US" w:eastAsia="zh-CN"/>
        </w:rPr>
        <w:t xml:space="preserve">complexity and </w:t>
      </w:r>
      <w:r>
        <w:rPr>
          <w:rFonts w:hint="eastAsia" w:eastAsia="宋体"/>
          <w:bCs/>
          <w:lang w:val="en-US" w:eastAsia="zh-CN"/>
        </w:rPr>
        <w:t>impact UE capability.</w:t>
      </w:r>
      <w:r>
        <w:rPr>
          <w:rFonts w:eastAsia="宋体"/>
          <w:bCs/>
          <w:lang w:val="en-US" w:eastAsia="zh-CN"/>
        </w:rPr>
        <w:t xml:space="preserve"> </w:t>
      </w:r>
      <w:r>
        <w:rPr>
          <w:rFonts w:hint="eastAsia" w:eastAsia="宋体"/>
          <w:bCs/>
          <w:lang w:val="en-US" w:eastAsia="zh-CN"/>
        </w:rPr>
        <w:t>Moreover, i</w:t>
      </w:r>
      <w:r>
        <w:rPr>
          <w:rFonts w:eastAsia="宋体"/>
          <w:bCs/>
          <w:lang w:val="en-US" w:eastAsia="zh-CN"/>
        </w:rPr>
        <w:t xml:space="preserve">f we continue to reduce the </w:t>
      </w:r>
      <w:r>
        <w:rPr>
          <w:rFonts w:hint="eastAsia" w:eastAsia="宋体"/>
          <w:bCs/>
          <w:lang w:val="en-US" w:eastAsia="zh-CN"/>
        </w:rPr>
        <w:t xml:space="preserve">maximum </w:t>
      </w:r>
      <w:r>
        <w:rPr>
          <w:rFonts w:eastAsia="宋体"/>
          <w:bCs/>
          <w:lang w:val="en-US" w:eastAsia="zh-CN"/>
        </w:rPr>
        <w:t>number of non</w:t>
      </w:r>
      <w:r>
        <w:rPr>
          <w:rFonts w:hint="eastAsia" w:eastAsia="宋体"/>
          <w:bCs/>
          <w:lang w:val="en-US" w:eastAsia="zh-CN"/>
        </w:rPr>
        <w:t>-</w:t>
      </w:r>
      <w:r>
        <w:rPr>
          <w:rFonts w:eastAsia="宋体"/>
          <w:bCs/>
          <w:lang w:val="en-US" w:eastAsia="zh-CN"/>
        </w:rPr>
        <w:t>overlapped CCE</w:t>
      </w:r>
      <w:r>
        <w:rPr>
          <w:rFonts w:hint="eastAsia" w:eastAsia="宋体"/>
          <w:bCs/>
          <w:lang w:val="en-US" w:eastAsia="zh-CN"/>
        </w:rPr>
        <w:t>s</w:t>
      </w:r>
      <w:r>
        <w:rPr>
          <w:rFonts w:eastAsia="宋体"/>
          <w:bCs/>
          <w:lang w:val="en-US" w:eastAsia="zh-CN"/>
        </w:rPr>
        <w:t xml:space="preserve"> and PDCCH candidates </w:t>
      </w:r>
      <w:r>
        <w:rPr>
          <w:rFonts w:hint="eastAsia" w:eastAsia="宋体"/>
          <w:bCs/>
          <w:lang w:val="en-US" w:eastAsia="zh-CN"/>
        </w:rPr>
        <w:t xml:space="preserve">per slot </w:t>
      </w:r>
      <w:r>
        <w:rPr>
          <w:rFonts w:eastAsia="宋体"/>
          <w:bCs/>
          <w:lang w:val="en-US" w:eastAsia="zh-CN"/>
        </w:rPr>
        <w:t xml:space="preserve">for </w:t>
      </w:r>
      <w:r>
        <w:rPr>
          <w:rFonts w:hint="eastAsia" w:eastAsia="宋体"/>
          <w:bCs/>
          <w:lang w:val="en-US" w:eastAsia="zh-CN"/>
        </w:rPr>
        <w:t xml:space="preserve">above </w:t>
      </w:r>
      <w:r>
        <w:rPr>
          <w:rFonts w:eastAsia="宋体"/>
          <w:bCs/>
          <w:lang w:val="en-US" w:eastAsia="zh-CN"/>
        </w:rPr>
        <w:t>higher SCS</w:t>
      </w:r>
      <w:r>
        <w:rPr>
          <w:rFonts w:hint="eastAsia" w:eastAsia="宋体"/>
          <w:bCs/>
          <w:lang w:val="en-US" w:eastAsia="zh-CN"/>
        </w:rPr>
        <w:t>s</w:t>
      </w:r>
      <w:r>
        <w:rPr>
          <w:rFonts w:eastAsia="宋体"/>
          <w:bCs/>
          <w:lang w:val="en-US" w:eastAsia="zh-CN"/>
        </w:rPr>
        <w:t xml:space="preserve"> </w:t>
      </w:r>
      <w:r>
        <w:rPr>
          <w:rFonts w:hint="eastAsia" w:eastAsia="宋体"/>
          <w:bCs/>
          <w:lang w:val="en-US" w:eastAsia="zh-CN"/>
        </w:rPr>
        <w:t>along</w:t>
      </w:r>
      <w:r>
        <w:rPr>
          <w:rFonts w:eastAsia="宋体"/>
          <w:bCs/>
          <w:lang w:val="en-US" w:eastAsia="zh-CN"/>
        </w:rPr>
        <w:t xml:space="preserve"> the</w:t>
      </w:r>
      <w:r>
        <w:rPr>
          <w:rFonts w:hint="eastAsia" w:eastAsia="宋体"/>
          <w:bCs/>
          <w:lang w:val="en-US" w:eastAsia="zh-CN"/>
        </w:rPr>
        <w:t xml:space="preserve"> downward</w:t>
      </w:r>
      <w:r>
        <w:rPr>
          <w:rFonts w:eastAsia="宋体"/>
          <w:bCs/>
          <w:lang w:val="en-US" w:eastAsia="zh-CN"/>
        </w:rPr>
        <w:t xml:space="preserve"> trend, the flexibility of scheduling will be </w:t>
      </w:r>
      <w:r>
        <w:rPr>
          <w:rFonts w:hint="eastAsia" w:eastAsia="宋体"/>
          <w:bCs/>
          <w:lang w:val="en-US" w:eastAsia="zh-CN"/>
        </w:rPr>
        <w:t>affected</w:t>
      </w:r>
      <w:r>
        <w:rPr>
          <w:rFonts w:eastAsia="宋体"/>
          <w:bCs/>
          <w:lang w:val="en-US" w:eastAsia="zh-CN"/>
        </w:rPr>
        <w:t xml:space="preserve"> and the PDCCH load will be too heavy resulting in blocking. There are </w:t>
      </w:r>
      <w:r>
        <w:rPr>
          <w:rFonts w:hint="eastAsia" w:eastAsia="宋体"/>
          <w:bCs/>
          <w:lang w:val="en-US" w:eastAsia="zh-CN"/>
        </w:rPr>
        <w:t xml:space="preserve">three alternative options discussed and summarized </w:t>
      </w:r>
      <w:r>
        <w:rPr>
          <w:rFonts w:eastAsia="宋体"/>
          <w:bCs/>
          <w:lang w:val="en-US" w:eastAsia="zh-CN"/>
        </w:rPr>
        <w:t>to solve the above problems</w:t>
      </w:r>
      <w:r>
        <w:rPr>
          <w:rFonts w:hint="eastAsia" w:eastAsia="宋体"/>
          <w:bCs/>
          <w:lang w:val="en-US" w:eastAsia="zh-CN"/>
        </w:rPr>
        <w:t>, Alt 1 using a fixed pattern of slot groups as the baseline to define the new capability has been supported and revised in RAN1#106bis e-meeting.</w:t>
      </w:r>
    </w:p>
    <w:p>
      <w:pPr>
        <w:widowControl w:val="0"/>
        <w:numPr>
          <w:ilvl w:val="-1"/>
          <w:numId w:val="0"/>
        </w:numPr>
        <w:spacing w:before="300" w:line="260" w:lineRule="auto"/>
        <w:ind w:left="0" w:firstLine="0"/>
        <w:jc w:val="both"/>
        <w:outlineLvl w:val="2"/>
        <w:rPr>
          <w:b/>
          <w:sz w:val="24"/>
          <w:szCs w:val="24"/>
        </w:rPr>
      </w:pPr>
      <w:r>
        <w:rPr>
          <w:rFonts w:hint="eastAsia" w:eastAsia="宋体"/>
          <w:b/>
          <w:bCs/>
          <w:sz w:val="24"/>
          <w:szCs w:val="24"/>
          <w:lang w:val="en-US" w:eastAsia="zh-CN"/>
        </w:rPr>
        <w:t xml:space="preserve">2.1.1 </w:t>
      </w:r>
      <w:r>
        <w:rPr>
          <w:rFonts w:hint="eastAsia" w:eastAsia="宋体"/>
          <w:b/>
          <w:sz w:val="24"/>
          <w:szCs w:val="24"/>
          <w:lang w:val="en-US" w:eastAsia="zh-CN"/>
        </w:rPr>
        <w:t>F</w:t>
      </w:r>
      <w:r>
        <w:rPr>
          <w:b/>
          <w:sz w:val="24"/>
          <w:szCs w:val="24"/>
        </w:rPr>
        <w:t xml:space="preserve">ixed pattern of slot groups </w:t>
      </w:r>
    </w:p>
    <w:p>
      <w:pPr>
        <w:jc w:val="both"/>
        <w:rPr>
          <w:rFonts w:eastAsia="宋体"/>
          <w:lang w:val="en-US" w:eastAsia="zh-CN"/>
        </w:rPr>
      </w:pPr>
      <w:r>
        <w:rPr>
          <w:rFonts w:hint="eastAsia" w:eastAsia="宋体"/>
          <w:lang w:val="en-US" w:eastAsia="zh-CN"/>
        </w:rPr>
        <w:t>In Alt 1, each slot group with a fixed pattern consists of X slots and slot groups are consecutive and non-overlapping. The capability indicates the BD/CCE budget within Y consecutive slots in each slot group separately. If parameter X and Y are properly restricted, we can not only alleviate back-to-back issue, but also enable gNB flexibility to configure CSS/USS.</w:t>
      </w:r>
    </w:p>
    <w:p>
      <w:pPr>
        <w:jc w:val="both"/>
        <w:rPr>
          <w:rFonts w:hint="default" w:eastAsia="宋体"/>
          <w:lang w:val="en-US" w:eastAsia="zh-CN"/>
        </w:rPr>
      </w:pPr>
      <w:r>
        <w:rPr>
          <w:rFonts w:hint="eastAsia" w:eastAsia="宋体"/>
          <w:lang w:val="en-US" w:eastAsia="zh-CN"/>
        </w:rPr>
        <w:t>Firstly, in order to reduce the configuration complexity, we suggest the slot group can always be aligned with a slot boundary. Even though the multi-slot monitoring not starting from boundary can to some extent improve the scheduling flexibility, this can also resulting in introducing new configuration parameters, e.g. the offset between a slot boundary and the multi-slot monitoring starting point. Furthermore, we can enable gNB flexibility through properly restrict the value and location of X and Y.</w:t>
      </w:r>
    </w:p>
    <w:p>
      <w:pPr>
        <w:jc w:val="both"/>
      </w:pPr>
      <w:r>
        <w:rPr>
          <w:rFonts w:hint="eastAsia" w:eastAsia="宋体"/>
          <w:lang w:val="en-US" w:eastAsia="zh-CN"/>
        </w:rPr>
        <w:t>In principle, the values of X should be configurable for more flexible operation in above 52.6 GHz band, that depend on UE capability</w:t>
      </w:r>
      <w:r>
        <w:t>.</w:t>
      </w:r>
      <w:r>
        <w:rPr>
          <w:rFonts w:hint="eastAsia" w:eastAsia="宋体"/>
          <w:lang w:val="en-US" w:eastAsia="zh-CN"/>
        </w:rPr>
        <w:t xml:space="preserve"> Firstly, X= </w:t>
      </w:r>
      <w:r>
        <w:rPr>
          <w:rFonts w:eastAsia="MS Mincho"/>
          <w:lang w:eastAsia="ja-JP"/>
        </w:rPr>
        <w:t xml:space="preserve">4 slots for 480 kHz and </w:t>
      </w:r>
      <w:r>
        <w:rPr>
          <w:rFonts w:hint="eastAsia" w:eastAsia="MS Mincho"/>
          <w:lang w:val="en-US" w:eastAsia="zh-CN"/>
        </w:rPr>
        <w:t xml:space="preserve">X= </w:t>
      </w:r>
      <w:r>
        <w:rPr>
          <w:rFonts w:eastAsia="MS Mincho"/>
          <w:lang w:eastAsia="ja-JP"/>
        </w:rPr>
        <w:t>8 slots for 960 kHz to align the absolute time</w:t>
      </w:r>
      <w:r>
        <w:rPr>
          <w:rFonts w:hint="eastAsia" w:eastAsia="MS Mincho"/>
          <w:lang w:val="en-US" w:eastAsia="zh-CN"/>
        </w:rPr>
        <w:t xml:space="preserve"> of a slot with</w:t>
      </w:r>
      <w:r>
        <w:rPr>
          <w:rFonts w:eastAsia="MS Mincho"/>
          <w:lang w:eastAsia="ja-JP"/>
        </w:rPr>
        <w:t xml:space="preserve"> 120 kHz SCS</w:t>
      </w:r>
      <w:r>
        <w:rPr>
          <w:rFonts w:hint="eastAsia" w:eastAsia="MS Mincho"/>
          <w:lang w:val="en-US" w:eastAsia="zh-CN"/>
        </w:rPr>
        <w:t xml:space="preserve"> with </w:t>
      </w:r>
      <w:r>
        <w:rPr>
          <w:rFonts w:eastAsia="MS Mincho"/>
          <w:lang w:eastAsia="ja-JP"/>
        </w:rPr>
        <w:t xml:space="preserve">the existing PDCCH </w:t>
      </w:r>
      <w:r>
        <w:rPr>
          <w:rFonts w:hint="eastAsia" w:eastAsia="MS Mincho"/>
          <w:lang w:val="en-US" w:eastAsia="zh-CN"/>
        </w:rPr>
        <w:t xml:space="preserve">monitoring </w:t>
      </w:r>
      <w:r>
        <w:rPr>
          <w:rFonts w:eastAsia="MS Mincho"/>
          <w:lang w:eastAsia="ja-JP"/>
        </w:rPr>
        <w:t xml:space="preserve">capability </w:t>
      </w:r>
      <w:r>
        <w:rPr>
          <w:rFonts w:hint="eastAsia" w:eastAsia="MS Mincho"/>
          <w:lang w:val="en-US" w:eastAsia="zh-CN"/>
        </w:rPr>
        <w:t xml:space="preserve">should be supported, also X=4 slots for 960kHz is optional according to the agreement made in RAN1#106bis e-meeting. In addition, </w:t>
      </w:r>
      <w:r>
        <w:rPr>
          <w:rFonts w:eastAsia="MS Mincho"/>
          <w:lang w:eastAsia="ja-JP"/>
        </w:rPr>
        <w:t xml:space="preserve">smaller </w:t>
      </w:r>
      <w:r>
        <w:rPr>
          <w:rFonts w:hint="eastAsia" w:eastAsia="宋体"/>
          <w:lang w:val="en-US" w:eastAsia="zh-CN"/>
        </w:rPr>
        <w:t>value</w:t>
      </w:r>
      <w:r>
        <w:rPr>
          <w:rFonts w:eastAsia="MS Mincho"/>
          <w:lang w:eastAsia="ja-JP"/>
        </w:rPr>
        <w:t xml:space="preserve"> </w:t>
      </w:r>
      <w:r>
        <w:rPr>
          <w:rFonts w:hint="eastAsia" w:eastAsia="MS Mincho"/>
          <w:lang w:val="en-US" w:eastAsia="zh-CN"/>
        </w:rPr>
        <w:t xml:space="preserve">of X </w:t>
      </w:r>
      <w:r>
        <w:rPr>
          <w:rFonts w:eastAsia="MS Mincho"/>
          <w:lang w:eastAsia="ja-JP"/>
        </w:rPr>
        <w:t>can be investigated</w:t>
      </w:r>
      <w:r>
        <w:rPr>
          <w:rFonts w:hint="eastAsia" w:eastAsia="宋体"/>
          <w:lang w:val="en-US" w:eastAsia="zh-CN"/>
        </w:rPr>
        <w:t xml:space="preserve"> later after multi-slot PDCCH monitoring capability has been defined for X=4(for </w:t>
      </w:r>
      <w:r>
        <w:rPr>
          <w:rFonts w:eastAsia="MS Mincho"/>
          <w:lang w:eastAsia="ja-JP"/>
        </w:rPr>
        <w:t>480 kHz</w:t>
      </w:r>
      <w:r>
        <w:rPr>
          <w:rFonts w:hint="eastAsia" w:eastAsia="宋体"/>
          <w:lang w:val="en-US" w:eastAsia="zh-CN"/>
        </w:rPr>
        <w:t xml:space="preserve">) and X=4/8(for </w:t>
      </w:r>
      <w:r>
        <w:rPr>
          <w:rFonts w:eastAsia="MS Mincho"/>
          <w:lang w:eastAsia="ja-JP"/>
        </w:rPr>
        <w:t>960 kHz</w:t>
      </w:r>
      <w:r>
        <w:rPr>
          <w:rFonts w:hint="eastAsia" w:eastAsia="宋体"/>
          <w:lang w:val="en-US" w:eastAsia="zh-CN"/>
        </w:rPr>
        <w:t>). We need to de-prioritize smaller values of X for the sake of progress and conclude at least one workable solution to define the multi-slot PDCCH monitoring capability.</w:t>
      </w:r>
    </w:p>
    <w:p>
      <w:pPr>
        <w:numPr>
          <w:ilvl w:val="-1"/>
          <w:numId w:val="0"/>
        </w:numPr>
        <w:spacing w:after="0" w:line="240" w:lineRule="auto"/>
        <w:ind w:left="0" w:firstLine="0"/>
        <w:jc w:val="both"/>
        <w:rPr>
          <w:rFonts w:hint="eastAsia" w:eastAsia="宋体"/>
          <w:b/>
          <w:bCs/>
          <w:highlight w:val="yellow"/>
          <w:lang w:val="en-US" w:eastAsia="zh-CN"/>
        </w:rPr>
      </w:pPr>
      <w:r>
        <w:rPr>
          <w:rFonts w:hint="eastAsia" w:eastAsia="宋体"/>
          <w:b/>
          <w:bCs/>
          <w:lang w:val="en-US" w:eastAsia="zh-CN"/>
        </w:rPr>
        <w:t>Proposal 1: If m</w:t>
      </w:r>
      <w:r>
        <w:rPr>
          <w:b/>
          <w:bCs/>
        </w:rPr>
        <w:t>ulti-slot PDCCH monitoring</w:t>
      </w:r>
      <w:r>
        <w:rPr>
          <w:rFonts w:hint="eastAsia" w:eastAsia="宋体"/>
          <w:b/>
          <w:bCs/>
          <w:lang w:val="en-US" w:eastAsia="zh-CN"/>
        </w:rPr>
        <w:t xml:space="preserve"> </w:t>
      </w:r>
      <w:r>
        <w:rPr>
          <w:b/>
          <w:bCs/>
        </w:rPr>
        <w:t>based on slots within a slot group</w:t>
      </w:r>
      <w:r>
        <w:rPr>
          <w:rFonts w:hint="eastAsia" w:eastAsia="宋体"/>
          <w:b/>
          <w:bCs/>
          <w:lang w:val="en-US" w:eastAsia="zh-CN"/>
        </w:rPr>
        <w:t xml:space="preserve"> is supported, r</w:t>
      </w:r>
      <w:r>
        <w:rPr>
          <w:b/>
          <w:bCs/>
        </w:rPr>
        <w:t xml:space="preserve">eporting the </w:t>
      </w:r>
      <w:r>
        <w:rPr>
          <w:b/>
          <w:bCs/>
          <w:lang w:val="en-US"/>
        </w:rPr>
        <w:t>BD/CCE budget</w:t>
      </w:r>
      <w:r>
        <w:rPr>
          <w:b/>
          <w:bCs/>
        </w:rPr>
        <w:t xml:space="preserve"> for X=4/8 slots (for 480/960 kHz resp.) is mandatory (if UE supports the corresponding SCS),</w:t>
      </w:r>
      <w:r>
        <w:rPr>
          <w:rFonts w:hint="eastAsia" w:eastAsia="宋体"/>
          <w:b/>
          <w:bCs/>
          <w:lang w:val="en-US" w:eastAsia="zh-CN"/>
        </w:rPr>
        <w:t xml:space="preserve"> </w:t>
      </w:r>
      <w:r>
        <w:rPr>
          <w:rFonts w:hint="eastAsia"/>
          <w:b/>
          <w:bCs/>
        </w:rPr>
        <w:t>and is optional for X=4 slots (for 960 kHz)</w:t>
      </w:r>
      <w:r>
        <w:rPr>
          <w:rFonts w:hint="eastAsia" w:eastAsia="宋体"/>
          <w:b/>
          <w:bCs/>
          <w:lang w:val="en-US" w:eastAsia="zh-CN"/>
        </w:rPr>
        <w:t>.</w:t>
      </w:r>
      <w:r>
        <w:rPr>
          <w:b/>
          <w:bCs/>
        </w:rPr>
        <w:t xml:space="preserve"> </w:t>
      </w:r>
      <w:r>
        <w:rPr>
          <w:rFonts w:hint="eastAsia" w:eastAsia="宋体"/>
          <w:b/>
          <w:bCs/>
          <w:lang w:val="en-US" w:eastAsia="zh-CN"/>
        </w:rPr>
        <w:t>D</w:t>
      </w:r>
      <w:r>
        <w:rPr>
          <w:rFonts w:hint="eastAsia" w:eastAsia="宋体"/>
          <w:b/>
          <w:bCs/>
          <w:highlight w:val="none"/>
          <w:lang w:val="en-US" w:eastAsia="zh-CN"/>
        </w:rPr>
        <w:t>e-prioritize other</w:t>
      </w:r>
      <w:r>
        <w:rPr>
          <w:b/>
          <w:bCs/>
          <w:highlight w:val="none"/>
        </w:rPr>
        <w:t xml:space="preserve"> optional</w:t>
      </w:r>
      <w:r>
        <w:rPr>
          <w:rFonts w:hint="eastAsia" w:eastAsia="宋体"/>
          <w:b/>
          <w:bCs/>
          <w:highlight w:val="none"/>
          <w:lang w:val="en-US" w:eastAsia="zh-CN"/>
        </w:rPr>
        <w:t xml:space="preserve"> values of</w:t>
      </w:r>
      <w:r>
        <w:rPr>
          <w:b/>
          <w:bCs/>
          <w:highlight w:val="none"/>
        </w:rPr>
        <w:t xml:space="preserve"> X</w:t>
      </w:r>
      <w:r>
        <w:rPr>
          <w:rFonts w:hint="eastAsia" w:eastAsia="宋体"/>
          <w:b/>
          <w:bCs/>
          <w:highlight w:val="none"/>
          <w:lang w:val="en-US" w:eastAsia="zh-CN"/>
        </w:rPr>
        <w:t xml:space="preserve"> (e.g. [2] </w:t>
      </w:r>
      <w:r>
        <w:rPr>
          <w:b/>
          <w:bCs/>
          <w:highlight w:val="none"/>
        </w:rPr>
        <w:t>slots for 480/960 kHz)</w:t>
      </w:r>
      <w:r>
        <w:rPr>
          <w:rFonts w:hint="eastAsia" w:eastAsia="宋体"/>
          <w:b/>
          <w:bCs/>
          <w:highlight w:val="none"/>
          <w:lang w:val="en-US" w:eastAsia="zh-CN"/>
        </w:rPr>
        <w:t xml:space="preserve"> .</w:t>
      </w:r>
    </w:p>
    <w:p>
      <w:pPr>
        <w:widowControl w:val="0"/>
        <w:spacing w:before="300" w:line="260" w:lineRule="auto"/>
        <w:jc w:val="both"/>
        <w:outlineLvl w:val="2"/>
        <w:rPr>
          <w:rFonts w:hint="default"/>
          <w:lang w:val="en-US"/>
        </w:rPr>
      </w:pPr>
      <w:r>
        <w:rPr>
          <w:rFonts w:hint="eastAsia" w:eastAsia="宋体"/>
          <w:b/>
          <w:bCs/>
          <w:sz w:val="24"/>
          <w:szCs w:val="24"/>
          <w:lang w:val="en-US" w:eastAsia="zh-CN"/>
        </w:rPr>
        <w:t>2.1.2 Location of Y</w:t>
      </w:r>
    </w:p>
    <w:p>
      <w:pPr>
        <w:jc w:val="both"/>
        <w:rPr>
          <w:rFonts w:eastAsia="宋体"/>
          <w:lang w:val="en-US" w:eastAsia="zh-CN"/>
        </w:rPr>
      </w:pPr>
      <w:r>
        <w:rPr>
          <w:rFonts w:hint="eastAsia" w:eastAsia="宋体"/>
          <w:lang w:val="en-US" w:eastAsia="zh-CN"/>
        </w:rPr>
        <w:t>A SS is configured to be within Y consecutive slots within a slot group of X slots, the location of Y slots within the X slots maintaining across different slot groups unless n0 changes can alleviate back-back monitoring issue as shown in Figure 1.</w:t>
      </w:r>
    </w:p>
    <w:p>
      <w:pPr>
        <w:pStyle w:val="125"/>
        <w:numPr>
          <w:ilvl w:val="0"/>
          <w:numId w:val="0"/>
        </w:numPr>
        <w:snapToGrid w:val="0"/>
        <w:spacing w:line="259" w:lineRule="auto"/>
        <w:ind w:left="-60" w:leftChars="0"/>
        <w:jc w:val="center"/>
        <w:rPr>
          <w:lang w:val="en-US" w:eastAsia="zh-CN"/>
        </w:rPr>
      </w:pPr>
      <w:r>
        <w:drawing>
          <wp:inline distT="0" distB="0" distL="114300" distR="114300">
            <wp:extent cx="3888105" cy="1080135"/>
            <wp:effectExtent l="0" t="0" r="17145" b="5715"/>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pic:cNvPicPr>
                  </pic:nvPicPr>
                  <pic:blipFill>
                    <a:blip r:embed="rId6"/>
                    <a:stretch>
                      <a:fillRect/>
                    </a:stretch>
                  </pic:blipFill>
                  <pic:spPr>
                    <a:xfrm>
                      <a:off x="0" y="0"/>
                      <a:ext cx="3888105" cy="1080135"/>
                    </a:xfrm>
                    <a:prstGeom prst="rect">
                      <a:avLst/>
                    </a:prstGeom>
                    <a:noFill/>
                    <a:ln>
                      <a:noFill/>
                    </a:ln>
                  </pic:spPr>
                </pic:pic>
              </a:graphicData>
            </a:graphic>
          </wp:inline>
        </w:drawing>
      </w:r>
    </w:p>
    <w:p>
      <w:pPr>
        <w:pStyle w:val="125"/>
        <w:numPr>
          <w:ilvl w:val="0"/>
          <w:numId w:val="0"/>
        </w:numPr>
        <w:snapToGrid w:val="0"/>
        <w:spacing w:line="259" w:lineRule="auto"/>
        <w:ind w:left="-60" w:leftChars="0"/>
        <w:jc w:val="center"/>
        <w:rPr>
          <w:lang w:val="en-US" w:eastAsia="zh-CN"/>
        </w:rPr>
      </w:pPr>
    </w:p>
    <w:p>
      <w:pPr>
        <w:pStyle w:val="125"/>
        <w:numPr>
          <w:ilvl w:val="0"/>
          <w:numId w:val="0"/>
        </w:numPr>
        <w:snapToGrid w:val="0"/>
        <w:spacing w:line="259" w:lineRule="auto"/>
        <w:ind w:left="-60" w:leftChars="0"/>
        <w:jc w:val="center"/>
        <w:rPr>
          <w:lang w:val="en-US" w:eastAsia="zh-CN"/>
        </w:rPr>
      </w:pPr>
      <w:r>
        <w:drawing>
          <wp:inline distT="0" distB="0" distL="114300" distR="114300">
            <wp:extent cx="3888105" cy="1080135"/>
            <wp:effectExtent l="0" t="0" r="17145" b="5715"/>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
                    <pic:cNvPicPr>
                      <a:picLocks noChangeAspect="1"/>
                    </pic:cNvPicPr>
                  </pic:nvPicPr>
                  <pic:blipFill>
                    <a:blip r:embed="rId7"/>
                    <a:stretch>
                      <a:fillRect/>
                    </a:stretch>
                  </pic:blipFill>
                  <pic:spPr>
                    <a:xfrm>
                      <a:off x="0" y="0"/>
                      <a:ext cx="3888105" cy="1080135"/>
                    </a:xfrm>
                    <a:prstGeom prst="rect">
                      <a:avLst/>
                    </a:prstGeom>
                    <a:noFill/>
                    <a:ln>
                      <a:noFill/>
                    </a:ln>
                  </pic:spPr>
                </pic:pic>
              </a:graphicData>
            </a:graphic>
          </wp:inline>
        </w:drawing>
      </w:r>
    </w:p>
    <w:p>
      <w:pPr>
        <w:jc w:val="center"/>
      </w:pPr>
    </w:p>
    <w:p>
      <w:pPr>
        <w:jc w:val="center"/>
        <w:rPr>
          <w:rFonts w:hint="eastAsia" w:eastAsia="宋体"/>
          <w:lang w:val="en-US" w:eastAsia="zh-CN"/>
        </w:rPr>
      </w:pPr>
      <w:r>
        <w:rPr>
          <w:rFonts w:hint="eastAsia" w:eastAsia="宋体"/>
          <w:b/>
          <w:bCs/>
          <w:lang w:val="en-US" w:eastAsia="zh-CN"/>
        </w:rPr>
        <w:t>Figure 1: A fixed pattern of slot groups (e.g. X=4 slots, Y=2 slots with 480kHz SCS)</w:t>
      </w:r>
    </w:p>
    <w:p>
      <w:pPr>
        <w:jc w:val="both"/>
        <w:rPr>
          <w:rFonts w:hint="eastAsia" w:eastAsia="宋体"/>
          <w:lang w:val="en-US" w:eastAsia="zh-CN"/>
        </w:rPr>
      </w:pPr>
      <w:r>
        <w:rPr>
          <w:rFonts w:hint="eastAsia"/>
          <w:lang w:val="en-US" w:eastAsia="zh-CN"/>
        </w:rPr>
        <w:t xml:space="preserve">The time domain location of </w:t>
      </w:r>
      <w:r>
        <w:rPr>
          <w:rFonts w:hint="eastAsia"/>
          <w:i w:val="0"/>
          <w:iCs w:val="0"/>
          <w:lang w:val="en-US" w:eastAsia="zh-CN"/>
        </w:rPr>
        <w:t>Type0-PDCCH CSS set</w:t>
      </w:r>
      <w:r>
        <w:rPr>
          <w:rFonts w:hint="default"/>
          <w:i w:val="0"/>
          <w:iCs w:val="0"/>
          <w:lang w:val="en-US" w:eastAsia="zh-CN"/>
        </w:rPr>
        <w:t>’</w:t>
      </w:r>
      <w:r>
        <w:rPr>
          <w:rFonts w:hint="eastAsia"/>
          <w:i w:val="0"/>
          <w:iCs w:val="0"/>
          <w:lang w:val="en-US" w:eastAsia="zh-CN"/>
        </w:rPr>
        <w:t>s</w:t>
      </w:r>
      <w:r>
        <w:rPr>
          <w:rFonts w:hint="eastAsia"/>
          <w:lang w:val="en-US" w:eastAsia="zh-CN"/>
        </w:rPr>
        <w:t xml:space="preserve"> monitoring slots relies on the SS/PBCH block of the UE, it is hard to make sure that both Group (1) SS (</w:t>
      </w:r>
      <w:r>
        <w:rPr>
          <w:rFonts w:hint="eastAsia" w:eastAsia="宋体"/>
          <w:lang w:val="en-US" w:eastAsia="zh-CN"/>
        </w:rPr>
        <w:t xml:space="preserve">Type 1 </w:t>
      </w:r>
      <w:r>
        <w:rPr>
          <w:lang w:eastAsia="zh-CN"/>
        </w:rPr>
        <w:t>with dedicated RRC configuration</w:t>
      </w:r>
      <w:r>
        <w:rPr>
          <w:rFonts w:hint="eastAsia" w:eastAsia="宋体"/>
          <w:lang w:val="en-US" w:eastAsia="zh-CN"/>
        </w:rPr>
        <w:t xml:space="preserve">/3 CSS, UE specific SS) and </w:t>
      </w:r>
      <w:r>
        <w:rPr>
          <w:rFonts w:hint="eastAsia"/>
          <w:lang w:val="en-US" w:eastAsia="zh-CN"/>
        </w:rPr>
        <w:t>Group (2) SS (</w:t>
      </w:r>
      <w:r>
        <w:rPr>
          <w:rFonts w:hint="eastAsia" w:eastAsia="宋体"/>
          <w:lang w:val="en-US" w:eastAsia="zh-CN"/>
        </w:rPr>
        <w:t xml:space="preserve">Type 0/0A/1 </w:t>
      </w:r>
      <w:r>
        <w:rPr>
          <w:lang w:eastAsia="zh-CN"/>
        </w:rPr>
        <w:t>without dedicated RRC configuration</w:t>
      </w:r>
      <w:r>
        <w:rPr>
          <w:rFonts w:hint="eastAsia" w:eastAsia="宋体"/>
          <w:lang w:val="en-US" w:eastAsia="zh-CN"/>
        </w:rPr>
        <w:t>/2 CSS sets</w:t>
      </w:r>
      <w:r>
        <w:rPr>
          <w:rFonts w:hint="eastAsia"/>
          <w:lang w:val="en-US" w:eastAsia="zh-CN"/>
        </w:rPr>
        <w:t>)</w:t>
      </w:r>
      <w:r>
        <w:rPr>
          <w:rFonts w:hint="eastAsia" w:eastAsia="宋体"/>
          <w:lang w:val="en-US" w:eastAsia="zh-CN"/>
        </w:rPr>
        <w:t xml:space="preserve"> fall into the fixed Y slots of multi-slot PDCCH monitoring pattern. O</w:t>
      </w:r>
      <w:r>
        <w:rPr>
          <w:rFonts w:hint="eastAsia"/>
          <w:lang w:eastAsia="zh-CN"/>
        </w:rPr>
        <w:t>nce the UE moves, the corresponding SS/PBCH block changes</w:t>
      </w:r>
      <w:r>
        <w:rPr>
          <w:rFonts w:hint="eastAsia"/>
          <w:lang w:val="en-US" w:eastAsia="zh-CN"/>
        </w:rPr>
        <w:t>.</w:t>
      </w:r>
      <w:r>
        <w:rPr>
          <w:rFonts w:hint="eastAsia" w:ascii="Times New Roman" w:hAnsi="Times New Roman"/>
          <w:sz w:val="20"/>
          <w:szCs w:val="20"/>
          <w:lang w:eastAsia="zh-CN"/>
        </w:rPr>
        <w:t xml:space="preserve"> If we use predetermined location of X and Y, the CORESET 0 associated with the highest RSRP may fall outside Y slots boundary.</w:t>
      </w:r>
      <w:r>
        <w:rPr>
          <w:rFonts w:hint="eastAsia"/>
          <w:sz w:val="20"/>
          <w:szCs w:val="20"/>
          <w:lang w:val="en-US" w:eastAsia="zh-CN"/>
        </w:rPr>
        <w:t xml:space="preserve"> T</w:t>
      </w:r>
      <w:r>
        <w:rPr>
          <w:rFonts w:hint="eastAsia" w:eastAsia="宋体"/>
          <w:lang w:val="en-US" w:eastAsia="zh-CN"/>
        </w:rPr>
        <w:t xml:space="preserve">he </w:t>
      </w:r>
      <w:r>
        <w:rPr>
          <w:rFonts w:hint="eastAsia"/>
          <w:lang w:val="en-US" w:eastAsia="zh-CN"/>
        </w:rPr>
        <w:t>Group (1)/(2)</w:t>
      </w:r>
      <w:r>
        <w:rPr>
          <w:rFonts w:hint="eastAsia" w:eastAsia="宋体"/>
          <w:lang w:val="en-US" w:eastAsia="zh-CN"/>
        </w:rPr>
        <w:t xml:space="preserve"> SS sets monitoring issue is still under discussion and there are several ways for tackling the problem:</w:t>
      </w:r>
    </w:p>
    <w:p>
      <w:pPr>
        <w:jc w:val="both"/>
        <w:rPr>
          <w:rFonts w:hint="eastAsia" w:eastAsia="宋体"/>
          <w:lang w:val="en-US" w:eastAsia="zh-CN"/>
        </w:rPr>
      </w:pPr>
      <w:r>
        <w:rPr>
          <w:rFonts w:hint="eastAsia"/>
          <w:b/>
          <w:bCs/>
          <w:i w:val="0"/>
          <w:iCs w:val="0"/>
          <w:lang w:val="en-US" w:eastAsia="zh-CN"/>
        </w:rPr>
        <w:t>Issue:</w:t>
      </w:r>
      <w:r>
        <w:rPr>
          <w:rFonts w:hint="eastAsia"/>
          <w:b/>
          <w:bCs/>
          <w:i/>
          <w:iCs/>
          <w:lang w:val="en-US" w:eastAsia="zh-CN"/>
        </w:rPr>
        <w:t xml:space="preserve"> </w:t>
      </w:r>
      <w:r>
        <w:rPr>
          <w:rFonts w:hint="default" w:eastAsia="宋体"/>
          <w:b/>
          <w:bCs/>
          <w:lang w:val="en-US" w:eastAsia="zh-CN"/>
        </w:rPr>
        <w:t xml:space="preserve">How to align Group </w:t>
      </w:r>
      <w:r>
        <w:rPr>
          <w:rFonts w:hint="eastAsia" w:eastAsia="宋体"/>
          <w:b/>
          <w:bCs/>
          <w:lang w:val="en-US" w:eastAsia="zh-CN"/>
        </w:rPr>
        <w:t>(</w:t>
      </w:r>
      <w:r>
        <w:rPr>
          <w:rFonts w:hint="default" w:eastAsia="宋体"/>
          <w:b/>
          <w:bCs/>
          <w:lang w:val="en-US" w:eastAsia="zh-CN"/>
        </w:rPr>
        <w:t>1</w:t>
      </w:r>
      <w:r>
        <w:rPr>
          <w:rFonts w:hint="eastAsia" w:eastAsia="宋体"/>
          <w:b/>
          <w:bCs/>
          <w:lang w:val="en-US" w:eastAsia="zh-CN"/>
        </w:rPr>
        <w:t>)</w:t>
      </w:r>
      <w:r>
        <w:rPr>
          <w:rFonts w:hint="default" w:eastAsia="宋体"/>
          <w:b/>
          <w:bCs/>
          <w:lang w:val="en-US" w:eastAsia="zh-CN"/>
        </w:rPr>
        <w:t xml:space="preserve"> SS with Group </w:t>
      </w:r>
      <w:r>
        <w:rPr>
          <w:rFonts w:hint="eastAsia" w:eastAsia="宋体"/>
          <w:b/>
          <w:bCs/>
          <w:lang w:val="en-US" w:eastAsia="zh-CN"/>
        </w:rPr>
        <w:t>(</w:t>
      </w:r>
      <w:r>
        <w:rPr>
          <w:rFonts w:hint="default" w:eastAsia="宋体"/>
          <w:b/>
          <w:bCs/>
          <w:lang w:val="en-US" w:eastAsia="zh-CN"/>
        </w:rPr>
        <w:t>2</w:t>
      </w:r>
      <w:r>
        <w:rPr>
          <w:rFonts w:hint="eastAsia" w:eastAsia="宋体"/>
          <w:b/>
          <w:bCs/>
          <w:lang w:val="en-US" w:eastAsia="zh-CN"/>
        </w:rPr>
        <w:t>)</w:t>
      </w:r>
      <w:r>
        <w:rPr>
          <w:rFonts w:hint="default" w:eastAsia="宋体"/>
          <w:b/>
          <w:bCs/>
          <w:lang w:val="en-US" w:eastAsia="zh-CN"/>
        </w:rPr>
        <w:t xml:space="preserve"> CSS set in the predetermined location of Y?</w:t>
      </w:r>
    </w:p>
    <w:p>
      <w:pPr>
        <w:numPr>
          <w:ilvl w:val="-1"/>
          <w:numId w:val="0"/>
        </w:numPr>
        <w:jc w:val="both"/>
        <w:rPr>
          <w:rFonts w:hint="default" w:eastAsia="宋体"/>
          <w:highlight w:val="none"/>
          <w:lang w:val="en-US" w:eastAsia="zh-CN"/>
        </w:rPr>
      </w:pPr>
      <w:r>
        <w:rPr>
          <w:rFonts w:hint="eastAsia" w:eastAsia="宋体"/>
          <w:lang w:val="en-US" w:eastAsia="zh-CN"/>
        </w:rPr>
        <w:t>Option 1: F</w:t>
      </w:r>
      <w:r>
        <w:rPr>
          <w:rFonts w:hint="eastAsia" w:eastAsia="宋体"/>
          <w:highlight w:val="none"/>
          <w:lang w:val="en-US" w:eastAsia="zh-CN"/>
        </w:rPr>
        <w:t xml:space="preserve">lexible Y location within X slots </w:t>
      </w:r>
    </w:p>
    <w:p>
      <w:pPr>
        <w:numPr>
          <w:ilvl w:val="-1"/>
          <w:numId w:val="0"/>
        </w:numPr>
        <w:jc w:val="both"/>
        <w:rPr>
          <w:rFonts w:hint="eastAsia" w:eastAsia="宋体"/>
          <w:lang w:val="en-US" w:eastAsia="zh-CN"/>
        </w:rPr>
      </w:pPr>
      <w:r>
        <w:rPr>
          <w:rFonts w:hint="eastAsia" w:eastAsia="宋体"/>
          <w:lang w:val="en-US" w:eastAsia="zh-CN"/>
        </w:rPr>
        <w:t>If Y</w:t>
      </w:r>
      <w:r>
        <w:rPr>
          <w:rFonts w:hint="eastAsia" w:eastAsia="MS Mincho"/>
          <w:lang w:val="en-US" w:eastAsia="zh-CN"/>
        </w:rPr>
        <w:t xml:space="preserve"> can locate in any slots/symbols of the slot groups, </w:t>
      </w:r>
      <w:r>
        <w:rPr>
          <w:rFonts w:hint="eastAsia" w:eastAsia="宋体"/>
          <w:lang w:val="en-US" w:eastAsia="zh-CN"/>
        </w:rPr>
        <w:t>the Type 0/0A/1</w:t>
      </w:r>
      <w:r>
        <w:rPr>
          <w:lang w:eastAsia="zh-CN"/>
        </w:rPr>
        <w:t>(without dedicated RRC configuration)</w:t>
      </w:r>
      <w:r>
        <w:rPr>
          <w:rFonts w:hint="eastAsia" w:eastAsia="宋体"/>
          <w:lang w:val="en-US" w:eastAsia="zh-CN"/>
        </w:rPr>
        <w:t xml:space="preserve">/2 CSS sets monitoring will not be an issue. However, flexible Y location within X slots will </w:t>
      </w:r>
      <w:r>
        <w:rPr>
          <w:rFonts w:hint="eastAsia" w:eastAsia="MS Mincho"/>
          <w:lang w:val="en-US" w:eastAsia="zh-CN"/>
        </w:rPr>
        <w:t>potentially cause back-to-back monitoring issues</w:t>
      </w:r>
      <w:r>
        <w:rPr>
          <w:rFonts w:hint="eastAsia" w:eastAsia="宋体"/>
          <w:lang w:val="en-US" w:eastAsia="zh-CN"/>
        </w:rPr>
        <w:t xml:space="preserve"> as shown in Figure 2</w:t>
      </w:r>
      <w:r>
        <w:rPr>
          <w:rFonts w:hint="eastAsia" w:eastAsia="MS Mincho"/>
          <w:lang w:val="en-US" w:eastAsia="zh-CN"/>
        </w:rPr>
        <w:t>. We recommend fixing t</w:t>
      </w:r>
      <w:r>
        <w:rPr>
          <w:rFonts w:hint="eastAsia" w:eastAsia="宋体"/>
          <w:lang w:val="en-US" w:eastAsia="zh-CN"/>
        </w:rPr>
        <w:t>he location of Y slots within the X slots  unless n0 changes</w:t>
      </w:r>
      <w:r>
        <w:rPr>
          <w:rFonts w:hint="eastAsia" w:eastAsia="MS Mincho"/>
          <w:lang w:val="en-US" w:eastAsia="zh-CN"/>
        </w:rPr>
        <w:t xml:space="preserve"> as we mentioned above</w:t>
      </w:r>
      <w:r>
        <w:rPr>
          <w:rFonts w:hint="eastAsia" w:eastAsia="宋体"/>
          <w:lang w:val="en-US" w:eastAsia="zh-CN"/>
        </w:rPr>
        <w:t>.</w:t>
      </w:r>
    </w:p>
    <w:p>
      <w:pPr>
        <w:numPr>
          <w:ilvl w:val="-1"/>
          <w:numId w:val="0"/>
        </w:numPr>
        <w:jc w:val="center"/>
      </w:pPr>
      <w:r>
        <w:drawing>
          <wp:inline distT="0" distB="0" distL="114300" distR="114300">
            <wp:extent cx="3888105" cy="1080135"/>
            <wp:effectExtent l="0" t="0" r="17145" b="5715"/>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
                    <pic:cNvPicPr>
                      <a:picLocks noChangeAspect="1"/>
                    </pic:cNvPicPr>
                  </pic:nvPicPr>
                  <pic:blipFill>
                    <a:blip r:embed="rId8"/>
                    <a:stretch>
                      <a:fillRect/>
                    </a:stretch>
                  </pic:blipFill>
                  <pic:spPr>
                    <a:xfrm>
                      <a:off x="0" y="0"/>
                      <a:ext cx="3888105" cy="1080135"/>
                    </a:xfrm>
                    <a:prstGeom prst="rect">
                      <a:avLst/>
                    </a:prstGeom>
                    <a:noFill/>
                    <a:ln>
                      <a:noFill/>
                    </a:ln>
                  </pic:spPr>
                </pic:pic>
              </a:graphicData>
            </a:graphic>
          </wp:inline>
        </w:drawing>
      </w:r>
    </w:p>
    <w:p>
      <w:pPr>
        <w:numPr>
          <w:ilvl w:val="-1"/>
          <w:numId w:val="0"/>
        </w:numPr>
        <w:jc w:val="center"/>
        <w:rPr>
          <w:rFonts w:hint="default"/>
          <w:lang w:val="en-US" w:eastAsia="zh-CN"/>
        </w:rPr>
      </w:pPr>
      <w:r>
        <w:rPr>
          <w:rFonts w:hint="eastAsia" w:eastAsia="宋体"/>
          <w:b/>
          <w:bCs/>
          <w:lang w:val="en-US" w:eastAsia="zh-CN"/>
        </w:rPr>
        <w:t>Figure 2: F</w:t>
      </w:r>
      <w:r>
        <w:rPr>
          <w:rFonts w:hint="eastAsia" w:eastAsia="宋体"/>
          <w:b/>
          <w:bCs/>
          <w:highlight w:val="none"/>
          <w:lang w:val="en-US" w:eastAsia="zh-CN"/>
        </w:rPr>
        <w:t xml:space="preserve">lexible Y location within </w:t>
      </w:r>
      <w:r>
        <w:rPr>
          <w:rFonts w:hint="eastAsia" w:eastAsia="宋体"/>
          <w:b/>
          <w:bCs/>
          <w:lang w:val="en-US" w:eastAsia="zh-CN"/>
        </w:rPr>
        <w:t>slot groups (e.g. X=4 slots, Y=2 slots with 480kHz SCS)</w:t>
      </w:r>
    </w:p>
    <w:p>
      <w:pPr>
        <w:numPr>
          <w:ilvl w:val="-1"/>
          <w:numId w:val="0"/>
        </w:numPr>
        <w:jc w:val="both"/>
        <w:rPr>
          <w:rFonts w:hint="default" w:eastAsia="宋体"/>
          <w:lang w:val="en-US" w:eastAsia="zh-CN"/>
        </w:rPr>
      </w:pPr>
      <w:r>
        <w:rPr>
          <w:rFonts w:hint="eastAsia" w:eastAsia="宋体"/>
          <w:lang w:val="en-US" w:eastAsia="zh-CN"/>
        </w:rPr>
        <w:t xml:space="preserve">Option 2: </w:t>
      </w:r>
      <w:r>
        <w:rPr>
          <w:rFonts w:hint="default" w:eastAsia="宋体"/>
          <w:lang w:val="en-US" w:eastAsia="zh-CN"/>
        </w:rPr>
        <w:t>CSS monitoring enhancement</w:t>
      </w:r>
    </w:p>
    <w:p>
      <w:pPr>
        <w:numPr>
          <w:ilvl w:val="-1"/>
          <w:numId w:val="0"/>
        </w:numPr>
        <w:jc w:val="both"/>
        <w:rPr>
          <w:rFonts w:hint="eastAsia"/>
          <w:lang w:eastAsia="zh-CN"/>
        </w:rPr>
      </w:pPr>
      <w:r>
        <w:rPr>
          <w:rFonts w:hint="default" w:eastAsia="宋体"/>
          <w:lang w:val="en-US" w:eastAsia="zh-CN"/>
        </w:rPr>
        <w:t>The location of the Y consecutive slots within a slot group of X slots is based on a time offset within the slot group based on slot index n0 determined for Group (2)</w:t>
      </w:r>
      <w:r>
        <w:rPr>
          <w:rFonts w:hint="eastAsia" w:eastAsia="宋体"/>
          <w:lang w:val="en-US" w:eastAsia="zh-CN"/>
        </w:rPr>
        <w:t xml:space="preserve"> SS</w:t>
      </w:r>
      <w:r>
        <w:rPr>
          <w:rFonts w:hint="default" w:eastAsia="宋体"/>
          <w:lang w:val="en-US" w:eastAsia="zh-CN"/>
        </w:rPr>
        <w:t xml:space="preserve"> monitoring.</w:t>
      </w:r>
      <w:r>
        <w:rPr>
          <w:rFonts w:hint="eastAsia" w:eastAsia="宋体"/>
          <w:lang w:val="en-US" w:eastAsia="zh-CN"/>
        </w:rPr>
        <w:t xml:space="preserve"> Then </w:t>
      </w:r>
      <w:r>
        <w:rPr>
          <w:rFonts w:hint="eastAsia"/>
          <w:sz w:val="20"/>
          <w:szCs w:val="20"/>
          <w:lang w:eastAsia="zh-CN"/>
        </w:rPr>
        <w:t xml:space="preserve">no matter which SSB is chosen during beam sweeping, the location of Y is based slot index n0 determined for Group(2) monitoring, and Group(1) SS </w:t>
      </w:r>
      <w:r>
        <w:rPr>
          <w:sz w:val="20"/>
          <w:szCs w:val="20"/>
          <w:lang w:val="en-GB"/>
        </w:rPr>
        <w:t>can</w:t>
      </w:r>
      <w:r>
        <w:rPr>
          <w:rFonts w:hint="eastAsia"/>
          <w:sz w:val="20"/>
          <w:szCs w:val="20"/>
          <w:lang w:eastAsia="zh-CN"/>
        </w:rPr>
        <w:t xml:space="preserve"> further</w:t>
      </w:r>
      <w:r>
        <w:rPr>
          <w:sz w:val="20"/>
          <w:szCs w:val="20"/>
          <w:lang w:val="en-GB"/>
        </w:rPr>
        <w:t xml:space="preserve"> be configured to be within Y consecutive slots</w:t>
      </w:r>
      <w:r>
        <w:rPr>
          <w:rFonts w:hint="eastAsia" w:eastAsia="宋体"/>
          <w:sz w:val="20"/>
          <w:szCs w:val="20"/>
          <w:lang w:val="en-US" w:eastAsia="zh-CN"/>
        </w:rPr>
        <w:t xml:space="preserve">. </w:t>
      </w:r>
    </w:p>
    <w:p>
      <w:pPr>
        <w:numPr>
          <w:ilvl w:val="-1"/>
          <w:numId w:val="0"/>
        </w:numPr>
        <w:jc w:val="both"/>
        <w:rPr>
          <w:rFonts w:hint="default" w:eastAsia="宋体"/>
          <w:lang w:val="en-US" w:eastAsia="zh-CN"/>
        </w:rPr>
      </w:pPr>
      <w:r>
        <w:rPr>
          <w:rFonts w:hint="eastAsia" w:eastAsia="宋体"/>
          <w:lang w:val="en-US" w:eastAsia="zh-CN"/>
        </w:rPr>
        <w:t>Option 3: Differentiate PDCCH monitoring capability for different type of</w:t>
      </w:r>
      <w:r>
        <w:rPr>
          <w:rFonts w:hint="eastAsia"/>
          <w:lang w:val="en-US" w:eastAsia="zh-CN"/>
        </w:rPr>
        <w:t xml:space="preserve"> CSS</w:t>
      </w:r>
    </w:p>
    <w:p>
      <w:pPr>
        <w:jc w:val="both"/>
        <w:rPr>
          <w:rFonts w:hint="default" w:eastAsia="宋体"/>
          <w:highlight w:val="none"/>
          <w:lang w:val="en-US" w:eastAsia="zh-CN"/>
        </w:rPr>
      </w:pPr>
      <w:r>
        <w:rPr>
          <w:rFonts w:hint="eastAsia" w:eastAsia="宋体"/>
          <w:highlight w:val="none"/>
          <w:lang w:val="en-US" w:eastAsia="zh-CN"/>
        </w:rPr>
        <w:t>According to TR38.822 in Rel-15/16, the monitoring occasion of Group (1) SS is within the first 3 OFDM symbols of a slot and the monitoring occasion of Group (2) SS is not restricted.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ind w:left="0" w:firstLine="0"/>
              <w:jc w:val="both"/>
              <w:rPr>
                <w:rFonts w:hint="eastAsia" w:eastAsia="宋体"/>
                <w:highlight w:val="none"/>
                <w:vertAlign w:val="baseline"/>
                <w:lang w:val="en-US" w:eastAsia="zh-CN"/>
              </w:rPr>
            </w:pPr>
            <w:r>
              <w:rPr>
                <w:rFonts w:hint="eastAsia" w:eastAsia="宋体"/>
                <w:highlight w:val="none"/>
                <w:vertAlign w:val="baseline"/>
                <w:lang w:val="en-US" w:eastAsia="zh-CN"/>
              </w:rPr>
              <w:t>This search space limit is before applying all dropping rules.</w:t>
            </w:r>
          </w:p>
          <w:p>
            <w:pPr>
              <w:numPr>
                <w:ilvl w:val="0"/>
                <w:numId w:val="13"/>
              </w:numPr>
              <w:ind w:left="420" w:hanging="420"/>
              <w:jc w:val="both"/>
              <w:rPr>
                <w:rFonts w:hint="eastAsia" w:eastAsia="宋体"/>
                <w:highlight w:val="none"/>
                <w:vertAlign w:val="baseline"/>
                <w:lang w:val="en-US" w:eastAsia="zh-CN"/>
              </w:rPr>
            </w:pPr>
            <w:r>
              <w:rPr>
                <w:rFonts w:hint="eastAsia" w:eastAsia="宋体"/>
                <w:highlight w:val="none"/>
                <w:vertAlign w:val="baseline"/>
                <w:lang w:val="en-US" w:eastAsia="zh-CN"/>
              </w:rPr>
              <w:t>For type 1 CSS with dedicated RRC configuration, type 3 CSS, and UE-SS, the monitoring occasion is within the first 3 OFDM symbols of a slot</w:t>
            </w:r>
          </w:p>
          <w:p>
            <w:pPr>
              <w:numPr>
                <w:ilvl w:val="0"/>
                <w:numId w:val="13"/>
              </w:numPr>
              <w:ind w:left="420" w:hanging="420"/>
              <w:jc w:val="both"/>
              <w:rPr>
                <w:rFonts w:hint="eastAsia" w:eastAsia="宋体"/>
                <w:highlight w:val="none"/>
                <w:vertAlign w:val="baseline"/>
                <w:lang w:val="en-US" w:eastAsia="zh-CN"/>
              </w:rPr>
            </w:pPr>
            <w:r>
              <w:rPr>
                <w:rFonts w:hint="eastAsia" w:eastAsia="宋体"/>
                <w:highlight w:val="none"/>
                <w:vertAlign w:val="baseline"/>
                <w:lang w:val="en-US" w:eastAsia="zh-CN"/>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tc>
      </w:tr>
    </w:tbl>
    <w:p>
      <w:pPr>
        <w:jc w:val="both"/>
        <w:rPr>
          <w:rFonts w:hint="eastAsia" w:ascii="Times New Roman" w:hAnsi="Times New Roman"/>
          <w:lang w:eastAsia="zh-CN"/>
        </w:rPr>
      </w:pPr>
      <w:r>
        <w:rPr>
          <w:rFonts w:hint="eastAsia"/>
          <w:highlight w:val="none"/>
          <w:lang w:val="en-US" w:eastAsia="zh-CN"/>
        </w:rPr>
        <w:t xml:space="preserve">We can apply similar rules in multi-slot PDCCH monitoring as in Rel-15/16, </w:t>
      </w:r>
      <w:r>
        <w:rPr>
          <w:rFonts w:hint="eastAsia"/>
          <w:highlight w:val="none"/>
          <w:lang w:eastAsia="zh-CN"/>
        </w:rPr>
        <w:t xml:space="preserve">Group </w:t>
      </w:r>
      <w:r>
        <w:rPr>
          <w:rFonts w:hint="eastAsia"/>
          <w:highlight w:val="none"/>
          <w:lang w:val="en-US" w:eastAsia="zh-CN"/>
        </w:rPr>
        <w:t>(</w:t>
      </w:r>
      <w:r>
        <w:rPr>
          <w:rFonts w:hint="eastAsia"/>
          <w:highlight w:val="none"/>
          <w:lang w:eastAsia="zh-CN"/>
        </w:rPr>
        <w:t>2</w:t>
      </w:r>
      <w:r>
        <w:rPr>
          <w:rFonts w:hint="eastAsia"/>
          <w:highlight w:val="none"/>
          <w:lang w:val="en-US" w:eastAsia="zh-CN"/>
        </w:rPr>
        <w:t>)</w:t>
      </w:r>
      <w:r>
        <w:rPr>
          <w:rFonts w:hint="eastAsia"/>
          <w:highlight w:val="none"/>
          <w:lang w:eastAsia="zh-CN"/>
        </w:rPr>
        <w:t xml:space="preserve"> CSS set</w:t>
      </w:r>
      <w:r>
        <w:rPr>
          <w:rFonts w:hint="eastAsia"/>
          <w:highlight w:val="none"/>
          <w:lang w:val="en-US" w:eastAsia="zh-CN"/>
        </w:rPr>
        <w:t>s</w:t>
      </w:r>
      <w:r>
        <w:rPr>
          <w:rFonts w:hint="eastAsia" w:eastAsia="宋体"/>
          <w:highlight w:val="none"/>
          <w:lang w:val="en-US" w:eastAsia="zh-CN"/>
        </w:rPr>
        <w:t xml:space="preserve"> are not restricted in Y slots, and they can locate in anywhere within a slot group. </w:t>
      </w:r>
      <w:r>
        <w:rPr>
          <w:rFonts w:hint="eastAsia"/>
          <w:highlight w:val="none"/>
          <w:lang w:eastAsia="zh-CN"/>
        </w:rPr>
        <w:t xml:space="preserve">Group </w:t>
      </w:r>
      <w:r>
        <w:rPr>
          <w:rFonts w:hint="eastAsia"/>
          <w:highlight w:val="none"/>
          <w:lang w:val="en-US" w:eastAsia="zh-CN"/>
        </w:rPr>
        <w:t>(1)</w:t>
      </w:r>
      <w:r>
        <w:rPr>
          <w:rFonts w:hint="eastAsia"/>
          <w:highlight w:val="none"/>
          <w:lang w:eastAsia="zh-CN"/>
        </w:rPr>
        <w:t xml:space="preserve"> SS</w:t>
      </w:r>
      <w:r>
        <w:rPr>
          <w:rFonts w:hint="eastAsia" w:eastAsia="宋体"/>
          <w:highlight w:val="none"/>
          <w:lang w:val="en-US" w:eastAsia="zh-CN"/>
        </w:rPr>
        <w:t xml:space="preserve"> sets should fit in the fixed multi-slot PDCCH monitoring pattern and</w:t>
      </w:r>
      <w:r>
        <w:rPr>
          <w:rFonts w:hint="eastAsia"/>
          <w:highlight w:val="none"/>
          <w:lang w:val="en-US" w:eastAsia="zh-CN"/>
        </w:rPr>
        <w:t xml:space="preserve"> the BD/CCE </w:t>
      </w:r>
      <w:r>
        <w:rPr>
          <w:rFonts w:hint="eastAsia"/>
          <w:lang w:val="en-US" w:eastAsia="zh-CN"/>
        </w:rPr>
        <w:t xml:space="preserve">budget calculation should be joint for all the SSs. Furthermore, </w:t>
      </w:r>
      <w:r>
        <w:rPr>
          <w:rFonts w:hint="eastAsia" w:eastAsia="宋体"/>
          <w:lang w:val="en-US" w:eastAsia="zh-CN"/>
        </w:rPr>
        <w:t>t</w:t>
      </w:r>
      <w:r>
        <w:t xml:space="preserve">he capability indicates the BD/CCE budget within </w:t>
      </w:r>
      <w:r>
        <w:rPr>
          <w:rFonts w:hint="eastAsia" w:eastAsia="宋体"/>
          <w:lang w:val="en-US" w:eastAsia="zh-CN"/>
        </w:rPr>
        <w:t xml:space="preserve">each slot group and at least </w:t>
      </w:r>
      <w:r>
        <w:rPr>
          <w:rFonts w:hint="eastAsia"/>
          <w:lang w:eastAsia="zh-CN"/>
        </w:rPr>
        <w:t xml:space="preserve">Group </w:t>
      </w:r>
      <w:r>
        <w:rPr>
          <w:rFonts w:hint="eastAsia"/>
          <w:lang w:val="en-US" w:eastAsia="zh-CN"/>
        </w:rPr>
        <w:t>(1)</w:t>
      </w:r>
      <w:r>
        <w:rPr>
          <w:rFonts w:hint="eastAsia"/>
          <w:lang w:eastAsia="zh-CN"/>
        </w:rPr>
        <w:t xml:space="preserve"> SS</w:t>
      </w:r>
      <w:r>
        <w:rPr>
          <w:rFonts w:hint="eastAsia" w:eastAsia="宋体"/>
          <w:lang w:val="en-US" w:eastAsia="zh-CN"/>
        </w:rPr>
        <w:t xml:space="preserve"> sets locate within Y consecutive slots. </w:t>
      </w:r>
      <w:r>
        <w:rPr>
          <w:rFonts w:hint="eastAsia"/>
          <w:lang w:val="en-US" w:eastAsia="zh-CN"/>
        </w:rPr>
        <w:t>This option</w:t>
      </w:r>
      <w:r>
        <w:rPr>
          <w:rFonts w:hint="eastAsia" w:ascii="Times New Roman" w:hAnsi="Times New Roman"/>
          <w:lang w:eastAsia="zh-CN"/>
        </w:rPr>
        <w:t xml:space="preserve"> provides a complete solution for multi-slot PDCCH monitoring but it may cause back-to-back monitoring issue and increase UE power consumption.</w:t>
      </w:r>
    </w:p>
    <w:p>
      <w:pPr>
        <w:numPr>
          <w:ilvl w:val="0"/>
          <w:numId w:val="0"/>
        </w:numPr>
        <w:jc w:val="both"/>
        <w:rPr>
          <w:rFonts w:hint="eastAsia"/>
          <w:lang w:val="en-US" w:eastAsia="zh-CN"/>
        </w:rPr>
      </w:pPr>
      <w:r>
        <w:rPr>
          <w:rFonts w:hint="eastAsia"/>
          <w:lang w:val="en-US" w:eastAsia="zh-CN"/>
        </w:rPr>
        <w:t xml:space="preserve">Among those three solutions, we prefer Option 2 </w:t>
      </w:r>
      <w:r>
        <w:rPr>
          <w:rFonts w:hint="eastAsia" w:eastAsia="宋体"/>
          <w:lang w:val="en-US" w:eastAsia="zh-CN"/>
        </w:rPr>
        <w:t>since this option</w:t>
      </w:r>
      <w:r>
        <w:rPr>
          <w:rFonts w:hint="eastAsia"/>
          <w:lang w:eastAsia="zh-CN"/>
        </w:rPr>
        <w:t xml:space="preserve"> not only align</w:t>
      </w:r>
      <w:r>
        <w:rPr>
          <w:rFonts w:hint="eastAsia"/>
          <w:lang w:val="en-US" w:eastAsia="zh-CN"/>
        </w:rPr>
        <w:t>s</w:t>
      </w:r>
      <w:r>
        <w:rPr>
          <w:rFonts w:hint="eastAsia"/>
          <w:lang w:eastAsia="zh-CN"/>
        </w:rPr>
        <w:t xml:space="preserve"> Group </w:t>
      </w:r>
      <w:r>
        <w:rPr>
          <w:rFonts w:hint="eastAsia"/>
          <w:lang w:val="en-US" w:eastAsia="zh-CN"/>
        </w:rPr>
        <w:t>(</w:t>
      </w:r>
      <w:r>
        <w:rPr>
          <w:rFonts w:hint="eastAsia"/>
          <w:lang w:eastAsia="zh-CN"/>
        </w:rPr>
        <w:t>1</w:t>
      </w:r>
      <w:r>
        <w:rPr>
          <w:rFonts w:hint="eastAsia"/>
          <w:lang w:val="en-US" w:eastAsia="zh-CN"/>
        </w:rPr>
        <w:t>)</w:t>
      </w:r>
      <w:r>
        <w:rPr>
          <w:rFonts w:hint="eastAsia"/>
          <w:lang w:eastAsia="zh-CN"/>
        </w:rPr>
        <w:t xml:space="preserve"> SS with Group </w:t>
      </w:r>
      <w:r>
        <w:rPr>
          <w:rFonts w:hint="eastAsia"/>
          <w:lang w:val="en-US" w:eastAsia="zh-CN"/>
        </w:rPr>
        <w:t>(</w:t>
      </w:r>
      <w:r>
        <w:rPr>
          <w:rFonts w:hint="eastAsia"/>
          <w:lang w:eastAsia="zh-CN"/>
        </w:rPr>
        <w:t>2</w:t>
      </w:r>
      <w:r>
        <w:rPr>
          <w:rFonts w:hint="eastAsia"/>
          <w:lang w:val="en-US" w:eastAsia="zh-CN"/>
        </w:rPr>
        <w:t>)</w:t>
      </w:r>
      <w:r>
        <w:rPr>
          <w:rFonts w:hint="eastAsia"/>
          <w:lang w:eastAsia="zh-CN"/>
        </w:rPr>
        <w:t xml:space="preserve"> CSS set</w:t>
      </w:r>
      <w:r>
        <w:rPr>
          <w:rFonts w:hint="eastAsia"/>
          <w:lang w:val="en-US" w:eastAsia="zh-CN"/>
        </w:rPr>
        <w:t>s</w:t>
      </w:r>
      <w:r>
        <w:rPr>
          <w:rFonts w:hint="eastAsia"/>
          <w:lang w:eastAsia="zh-CN"/>
        </w:rPr>
        <w:t xml:space="preserve"> in the location of Y</w:t>
      </w:r>
      <w:r>
        <w:rPr>
          <w:rFonts w:hint="eastAsia"/>
          <w:lang w:val="en-US" w:eastAsia="zh-CN"/>
        </w:rPr>
        <w:t xml:space="preserve"> slots</w:t>
      </w:r>
      <w:r>
        <w:rPr>
          <w:rFonts w:hint="eastAsia"/>
          <w:lang w:eastAsia="zh-CN"/>
        </w:rPr>
        <w:t>, but also avoid</w:t>
      </w:r>
      <w:r>
        <w:rPr>
          <w:rFonts w:hint="eastAsia"/>
          <w:lang w:val="en-US" w:eastAsia="zh-CN"/>
        </w:rPr>
        <w:t>s</w:t>
      </w:r>
      <w:r>
        <w:rPr>
          <w:rFonts w:hint="eastAsia"/>
          <w:lang w:eastAsia="zh-CN"/>
        </w:rPr>
        <w:t xml:space="preserve"> changing the default CSS configuration.</w:t>
      </w:r>
    </w:p>
    <w:p>
      <w:pPr>
        <w:spacing w:after="0"/>
        <w:jc w:val="both"/>
        <w:rPr>
          <w:rFonts w:hint="default"/>
          <w:b/>
          <w:bCs/>
          <w:lang w:val="en-US" w:eastAsia="zh-CN"/>
        </w:rPr>
      </w:pPr>
      <w:r>
        <w:rPr>
          <w:rFonts w:hint="eastAsia"/>
          <w:b/>
          <w:bCs/>
          <w:lang w:val="en-US" w:eastAsia="zh-CN"/>
        </w:rPr>
        <w:t>Proposal 2: Align Group (1) SS with Group (2) CSS set in the location of Y slots.</w:t>
      </w:r>
    </w:p>
    <w:p>
      <w:pPr>
        <w:numPr>
          <w:ilvl w:val="0"/>
          <w:numId w:val="12"/>
        </w:numPr>
        <w:spacing w:after="0" w:line="260" w:lineRule="auto"/>
        <w:ind w:left="720"/>
        <w:rPr>
          <w:b/>
          <w:bCs/>
          <w:lang w:val="en-US"/>
        </w:rPr>
      </w:pPr>
      <w:r>
        <w:rPr>
          <w:b/>
          <w:bCs/>
        </w:rPr>
        <w:t xml:space="preserve">A SS is configured to be within </w:t>
      </w:r>
      <w:r>
        <w:rPr>
          <w:rFonts w:hint="eastAsia" w:eastAsia="宋体"/>
          <w:b/>
          <w:bCs/>
          <w:lang w:val="en-US" w:eastAsia="zh-CN"/>
        </w:rPr>
        <w:t>Y</w:t>
      </w:r>
      <w:r>
        <w:rPr>
          <w:b/>
          <w:bCs/>
        </w:rPr>
        <w:t xml:space="preserve"> consecutive slots within a slot group of X slot</w:t>
      </w:r>
      <w:r>
        <w:rPr>
          <w:rFonts w:hint="eastAsia" w:eastAsia="宋体"/>
          <w:b/>
          <w:bCs/>
          <w:lang w:val="en-US" w:eastAsia="zh-CN"/>
        </w:rPr>
        <w:t>s</w:t>
      </w:r>
    </w:p>
    <w:p>
      <w:pPr>
        <w:numPr>
          <w:ilvl w:val="0"/>
          <w:numId w:val="12"/>
        </w:numPr>
        <w:spacing w:after="0" w:line="260" w:lineRule="auto"/>
        <w:ind w:left="720"/>
        <w:rPr>
          <w:b/>
          <w:bCs/>
          <w:lang w:val="en-US"/>
        </w:rPr>
      </w:pPr>
      <w:r>
        <w:rPr>
          <w:b/>
          <w:bCs/>
          <w:lang w:val="en-US"/>
        </w:rPr>
        <w:t xml:space="preserve">The location of the </w:t>
      </w:r>
      <w:r>
        <w:rPr>
          <w:rFonts w:hint="default" w:eastAsia="宋体"/>
          <w:b/>
          <w:bCs/>
          <w:lang w:val="en-US" w:eastAsia="zh-CN"/>
        </w:rPr>
        <w:t>Y</w:t>
      </w:r>
      <w:r>
        <w:rPr>
          <w:b/>
          <w:bCs/>
        </w:rPr>
        <w:t xml:space="preserve"> </w:t>
      </w:r>
      <w:r>
        <w:rPr>
          <w:b/>
          <w:bCs/>
          <w:lang w:val="en-US"/>
        </w:rPr>
        <w:t xml:space="preserve">consecutive slots within a </w:t>
      </w:r>
      <w:r>
        <w:rPr>
          <w:b/>
          <w:bCs/>
        </w:rPr>
        <w:t>slot group of X slots</w:t>
      </w:r>
      <w:r>
        <w:rPr>
          <w:b/>
          <w:bCs/>
          <w:lang w:val="en-US"/>
        </w:rPr>
        <w:t xml:space="preserve"> is maintained across different slot groups (unless n0 changes</w:t>
      </w:r>
      <w:r>
        <w:rPr>
          <w:rFonts w:hint="eastAsia" w:eastAsia="宋体"/>
          <w:b/>
          <w:bCs/>
          <w:lang w:val="en-US" w:eastAsia="zh-CN"/>
        </w:rPr>
        <w:t>)</w:t>
      </w:r>
    </w:p>
    <w:p>
      <w:pPr>
        <w:numPr>
          <w:ilvl w:val="0"/>
          <w:numId w:val="12"/>
        </w:numPr>
        <w:spacing w:after="0" w:line="260" w:lineRule="auto"/>
        <w:ind w:left="720" w:hanging="360"/>
        <w:jc w:val="left"/>
        <w:rPr>
          <w:rFonts w:hint="default" w:eastAsia="宋体"/>
          <w:b/>
          <w:bCs/>
          <w:lang w:val="en-US" w:eastAsia="zh-CN"/>
        </w:rPr>
      </w:pPr>
      <w:r>
        <w:rPr>
          <w:rFonts w:hint="default" w:eastAsia="宋体"/>
          <w:b/>
          <w:bCs/>
          <w:lang w:val="en-US" w:eastAsia="zh-CN"/>
        </w:rPr>
        <w:t>The location of the Y consecutive slots within a slot group of X slots is based on a time offset within the slot group based on slot index n0 determined for Group (2)</w:t>
      </w:r>
      <w:r>
        <w:rPr>
          <w:rFonts w:hint="eastAsia" w:eastAsia="宋体"/>
          <w:b/>
          <w:bCs/>
          <w:lang w:val="en-US" w:eastAsia="zh-CN"/>
        </w:rPr>
        <w:t xml:space="preserve"> SS</w:t>
      </w:r>
      <w:r>
        <w:rPr>
          <w:rFonts w:hint="default" w:eastAsia="宋体"/>
          <w:b/>
          <w:bCs/>
          <w:lang w:val="en-US" w:eastAsia="zh-CN"/>
        </w:rPr>
        <w:t xml:space="preserve"> monitoring</w:t>
      </w:r>
    </w:p>
    <w:p>
      <w:pPr>
        <w:widowControl w:val="0"/>
        <w:spacing w:before="300" w:line="260" w:lineRule="auto"/>
        <w:jc w:val="both"/>
        <w:outlineLvl w:val="2"/>
        <w:rPr>
          <w:rFonts w:hint="default" w:eastAsia="宋体"/>
          <w:lang w:val="en-US" w:eastAsia="zh-CN"/>
        </w:rPr>
      </w:pPr>
      <w:r>
        <w:rPr>
          <w:rFonts w:hint="eastAsia" w:eastAsia="宋体"/>
          <w:b/>
          <w:bCs/>
          <w:sz w:val="24"/>
          <w:szCs w:val="24"/>
          <w:lang w:val="en-US" w:eastAsia="zh-CN"/>
        </w:rPr>
        <w:t>2.1.3 Type0-PDCCH monitoring</w:t>
      </w:r>
    </w:p>
    <w:p>
      <w:pPr>
        <w:jc w:val="both"/>
        <w:rPr>
          <w:rFonts w:hint="eastAsia" w:eastAsia="宋体"/>
          <w:lang w:val="en-US" w:eastAsia="zh-CN"/>
        </w:rPr>
      </w:pPr>
      <w:r>
        <w:rPr>
          <w:rFonts w:hint="eastAsia" w:eastAsia="MS Mincho"/>
          <w:lang w:val="en-US" w:eastAsia="zh-CN"/>
        </w:rPr>
        <w:t>For whether to restrict the PDCCH monitoring occasion (MO) in a subset of slots (i.e. Y consecutive slots) with fixed positions in a slot group with X slots, in principle, we think a gNB should be allowed to configure PDCCH MO in any slots/symbols of the slot groups, that is, Y can be equal to X slots. The location and number of PDCCH MO slots/symbols can be decided by the gNB configuration. But in order to alleviate potential back-to-back monitoring issues, it may be the best to set 1</w:t>
      </w:r>
      <w:r>
        <w:rPr>
          <w:rFonts w:hint="eastAsia" w:ascii="宋体" w:hAnsi="宋体" w:eastAsia="宋体" w:cs="宋体"/>
          <w:lang w:val="en-US" w:eastAsia="zh-CN"/>
        </w:rPr>
        <w:t>≦</w:t>
      </w:r>
      <w:r>
        <w:rPr>
          <w:rFonts w:hint="eastAsia" w:eastAsia="MS Mincho"/>
          <w:lang w:val="en-US" w:eastAsia="zh-CN"/>
        </w:rPr>
        <w:t>Y</w:t>
      </w:r>
      <w:r>
        <w:rPr>
          <w:rFonts w:hint="eastAsia" w:ascii="宋体" w:hAnsi="宋体" w:eastAsia="宋体" w:cs="宋体"/>
          <w:lang w:val="en-US" w:eastAsia="zh-CN"/>
        </w:rPr>
        <w:t>≦</w:t>
      </w:r>
      <w:r>
        <w:rPr>
          <w:rFonts w:hint="eastAsia" w:eastAsia="MS Mincho"/>
          <w:lang w:val="en-US" w:eastAsia="zh-CN"/>
        </w:rPr>
        <w:t xml:space="preserve">X/2. </w:t>
      </w:r>
      <w:r>
        <w:rPr>
          <w:rFonts w:eastAsia="宋体"/>
          <w:lang w:val="en-US" w:eastAsia="zh-CN"/>
        </w:rPr>
        <w:t xml:space="preserve">Considering larger Y </w:t>
      </w:r>
      <w:r>
        <w:rPr>
          <w:rFonts w:hint="eastAsia" w:eastAsia="宋体"/>
          <w:lang w:val="en-US" w:eastAsia="zh-CN"/>
        </w:rPr>
        <w:t xml:space="preserve">value </w:t>
      </w:r>
      <w:r>
        <w:rPr>
          <w:rFonts w:eastAsia="宋体"/>
          <w:lang w:val="en-US" w:eastAsia="zh-CN"/>
        </w:rPr>
        <w:t xml:space="preserve">results in better gNB flexibility but higher UE complexity, </w:t>
      </w:r>
      <w:r>
        <w:rPr>
          <w:rFonts w:hint="eastAsia" w:eastAsia="宋体"/>
          <w:lang w:val="en-US" w:eastAsia="zh-CN"/>
        </w:rPr>
        <w:t xml:space="preserve">we propose that </w:t>
      </w:r>
      <w:r>
        <w:rPr>
          <w:rFonts w:eastAsia="宋体"/>
          <w:lang w:val="en-US" w:eastAsia="zh-CN"/>
        </w:rPr>
        <w:t>Y should be</w:t>
      </w:r>
      <w:r>
        <w:rPr>
          <w:rFonts w:hint="eastAsia" w:eastAsia="宋体"/>
          <w:lang w:val="en-US" w:eastAsia="zh-CN"/>
        </w:rPr>
        <w:t xml:space="preserve"> a</w:t>
      </w:r>
      <w:r>
        <w:rPr>
          <w:rFonts w:eastAsia="宋体"/>
          <w:lang w:val="en-US" w:eastAsia="zh-CN"/>
        </w:rPr>
        <w:t xml:space="preserve"> configurable</w:t>
      </w:r>
      <w:r>
        <w:rPr>
          <w:rFonts w:hint="eastAsia" w:eastAsia="宋体"/>
          <w:lang w:val="en-US" w:eastAsia="zh-CN"/>
        </w:rPr>
        <w:t xml:space="preserve"> value</w:t>
      </w:r>
      <w:r>
        <w:rPr>
          <w:rFonts w:eastAsia="宋体"/>
          <w:lang w:val="en-US" w:eastAsia="zh-CN"/>
        </w:rPr>
        <w:t>.</w:t>
      </w:r>
    </w:p>
    <w:p>
      <w:pPr>
        <w:jc w:val="both"/>
        <w:rPr>
          <w:rFonts w:hint="default"/>
          <w:i w:val="0"/>
          <w:iCs w:val="0"/>
          <w:lang w:val="en-US" w:eastAsia="zh-CN"/>
        </w:rPr>
      </w:pPr>
      <w:r>
        <w:rPr>
          <w:rFonts w:hint="eastAsia" w:eastAsia="宋体"/>
          <w:lang w:val="en-US" w:eastAsia="zh-CN"/>
        </w:rPr>
        <w:t>Furthermore, in term of w</w:t>
      </w:r>
      <w:r>
        <w:rPr>
          <w:sz w:val="20"/>
          <w:szCs w:val="20"/>
          <w:lang w:eastAsia="zh-CN"/>
        </w:rPr>
        <w:t>hat the UE capability defines for monitoring within Y slots</w:t>
      </w:r>
      <w:r>
        <w:rPr>
          <w:rFonts w:hint="eastAsia"/>
          <w:sz w:val="20"/>
          <w:szCs w:val="20"/>
          <w:lang w:val="en-US" w:eastAsia="zh-CN"/>
        </w:rPr>
        <w:t xml:space="preserve">, the configuration of </w:t>
      </w:r>
      <w:r>
        <w:rPr>
          <w:rFonts w:hint="eastAsia"/>
          <w:lang w:val="en-US" w:eastAsia="zh-CN"/>
        </w:rPr>
        <w:t>Type0-PDCCH CSS for SSB/CORESET#0 should be considered. In RAN1#106 e-meeting, regarding the</w:t>
      </w:r>
      <w:r>
        <w:rPr>
          <w:rFonts w:cs="Times"/>
          <w:szCs w:val="20"/>
          <w:lang w:eastAsia="zh-CN"/>
        </w:rPr>
        <w:t xml:space="preserve"> ‘</w:t>
      </w:r>
      <w:r>
        <w:rPr>
          <w:rFonts w:eastAsia="宋体" w:cs="Times"/>
          <w:szCs w:val="20"/>
          <w:lang w:eastAsia="zh-CN"/>
        </w:rPr>
        <w:t xml:space="preserve">controlResourceSetZero’ configuration for </w:t>
      </w:r>
      <w:r>
        <w:rPr>
          <w:rFonts w:cs="Times"/>
          <w:szCs w:val="20"/>
          <w:lang w:eastAsia="zh-CN"/>
        </w:rPr>
        <w:t>{SSB, CORESET#0/Type0-PDCCH} = {480, 480} kHz and {960, 960} kHz</w:t>
      </w:r>
      <w:r>
        <w:rPr>
          <w:rFonts w:hint="eastAsia" w:cs="Times"/>
          <w:szCs w:val="20"/>
          <w:lang w:val="en-US" w:eastAsia="zh-CN"/>
        </w:rPr>
        <w:t xml:space="preserve">, </w:t>
      </w:r>
      <w:r>
        <w:rPr>
          <w:rFonts w:hint="eastAsia"/>
          <w:lang w:val="en-US" w:eastAsia="zh-CN"/>
        </w:rPr>
        <w:t xml:space="preserve">multiplexing pattern 1 is supported. We know on the basis of Rel-15: </w:t>
      </w:r>
      <w:r>
        <w:rPr>
          <w:rFonts w:hint="eastAsia"/>
          <w:i/>
          <w:iCs/>
          <w:lang w:val="en-US" w:eastAsia="zh-CN"/>
        </w:rPr>
        <w:t xml:space="preserve">For the SS/PBCH block and CORESET multiplexing pattern 1, a UE monitors PDCCH in the Type0-PDCCH CSS set over two consecutive slots. </w:t>
      </w:r>
      <w:r>
        <w:rPr>
          <w:rFonts w:hint="eastAsia"/>
          <w:i w:val="0"/>
          <w:iCs w:val="0"/>
          <w:lang w:val="en-US" w:eastAsia="zh-CN"/>
        </w:rPr>
        <w:t xml:space="preserve">However we can not guarantee this when </w:t>
      </w:r>
      <w:r>
        <w:rPr>
          <w:rFonts w:hint="eastAsia" w:eastAsia="MS Mincho"/>
          <w:lang w:val="en-US" w:eastAsia="zh-CN"/>
        </w:rPr>
        <w:t>Y is set to 1, the corresponding solutions are as follows.</w:t>
      </w:r>
    </w:p>
    <w:p>
      <w:pPr>
        <w:jc w:val="both"/>
        <w:rPr>
          <w:rFonts w:hint="default" w:eastAsia="宋体"/>
          <w:b/>
          <w:bCs/>
          <w:lang w:val="en-US" w:eastAsia="zh-CN"/>
        </w:rPr>
      </w:pPr>
      <w:r>
        <w:rPr>
          <w:rFonts w:hint="eastAsia"/>
          <w:b/>
          <w:bCs/>
          <w:i w:val="0"/>
          <w:iCs w:val="0"/>
          <w:lang w:val="en-US" w:eastAsia="zh-CN"/>
        </w:rPr>
        <w:t>Issue:</w:t>
      </w:r>
      <w:r>
        <w:rPr>
          <w:rFonts w:hint="eastAsia"/>
          <w:b/>
          <w:bCs/>
          <w:i/>
          <w:iCs/>
          <w:lang w:val="en-US" w:eastAsia="zh-CN"/>
        </w:rPr>
        <w:t xml:space="preserve"> </w:t>
      </w:r>
      <w:r>
        <w:rPr>
          <w:rFonts w:hint="eastAsia"/>
          <w:b/>
          <w:bCs/>
          <w:i w:val="0"/>
          <w:iCs w:val="0"/>
          <w:lang w:val="en-US" w:eastAsia="zh-CN"/>
        </w:rPr>
        <w:t>How can a UE monitor Type0-PDCCH CSS set over two consecutive slots when Y=1?</w:t>
      </w:r>
    </w:p>
    <w:p>
      <w:pPr>
        <w:numPr>
          <w:ilvl w:val="-1"/>
          <w:numId w:val="0"/>
        </w:numPr>
        <w:jc w:val="both"/>
        <w:rPr>
          <w:rFonts w:hint="default" w:eastAsia="宋体"/>
          <w:lang w:val="en-US" w:eastAsia="zh-CN"/>
        </w:rPr>
      </w:pPr>
      <w:r>
        <w:rPr>
          <w:rFonts w:hint="eastAsia" w:eastAsia="宋体"/>
          <w:lang w:val="en-US" w:eastAsia="zh-CN"/>
        </w:rPr>
        <w:t>Option 1: M</w:t>
      </w:r>
      <w:r>
        <w:rPr>
          <w:rFonts w:hint="eastAsia"/>
          <w:lang w:val="en-US" w:eastAsia="zh-CN"/>
        </w:rPr>
        <w:t>onitoring Type0-PDCCH only in n0</w:t>
      </w:r>
    </w:p>
    <w:p>
      <w:pPr>
        <w:numPr>
          <w:ilvl w:val="-1"/>
          <w:numId w:val="0"/>
        </w:numPr>
        <w:spacing w:after="0" w:line="260" w:lineRule="auto"/>
        <w:jc w:val="both"/>
        <w:rPr>
          <w:rFonts w:hint="eastAsia" w:eastAsia="宋体"/>
          <w:bCs/>
          <w:lang w:val="en-US" w:eastAsia="zh-CN"/>
        </w:rPr>
      </w:pPr>
      <w:r>
        <w:rPr>
          <w:rFonts w:hint="eastAsia"/>
          <w:lang w:val="en-US" w:eastAsia="zh-CN"/>
        </w:rPr>
        <w:t xml:space="preserve">Considering the situation when X=2 slots and Y=1 slot, it is impossible for a UE to both monitor PDCCH in the Type0-PDCCH CSS set over two consecutive slots as in </w:t>
      </w:r>
      <w:r>
        <w:rPr>
          <w:rFonts w:hint="eastAsia" w:eastAsia="宋体"/>
          <w:lang w:val="en-US" w:eastAsia="zh-CN"/>
        </w:rPr>
        <w:t>Rel-15/16</w:t>
      </w:r>
      <w:r>
        <w:rPr>
          <w:rFonts w:hint="eastAsia"/>
          <w:lang w:val="en-US" w:eastAsia="zh-CN"/>
        </w:rPr>
        <w:t xml:space="preserve"> and accommodate the multi-slot PDCCH monitoring pattern. Instead of monitoring </w:t>
      </w:r>
      <w:r>
        <w:rPr>
          <w:rFonts w:hint="eastAsia"/>
          <w:i w:val="0"/>
          <w:iCs w:val="0"/>
          <w:lang w:val="en-US" w:eastAsia="zh-CN"/>
        </w:rPr>
        <w:t>Type0-PDCCH</w:t>
      </w:r>
      <w:r>
        <w:rPr>
          <w:rFonts w:hint="eastAsia"/>
          <w:lang w:val="en-US" w:eastAsia="zh-CN"/>
        </w:rPr>
        <w:t xml:space="preserve"> over two consecutive slots, a UE monitoring PDCCH only in n0 </w:t>
      </w:r>
      <w:r>
        <w:rPr>
          <w:rFonts w:hint="eastAsia" w:eastAsia="宋体"/>
          <w:bCs/>
          <w:lang w:val="en-US" w:eastAsia="zh-CN"/>
        </w:rPr>
        <w:t>can bring the following impacts:</w:t>
      </w:r>
    </w:p>
    <w:p>
      <w:pPr>
        <w:numPr>
          <w:ilvl w:val="0"/>
          <w:numId w:val="14"/>
        </w:numPr>
        <w:spacing w:after="0" w:line="260" w:lineRule="auto"/>
        <w:ind w:left="420" w:hanging="420"/>
        <w:jc w:val="both"/>
        <w:rPr>
          <w:rFonts w:hint="default" w:eastAsia="宋体"/>
          <w:lang w:val="en-US" w:eastAsia="zh-CN"/>
        </w:rPr>
      </w:pPr>
      <w:r>
        <w:rPr>
          <w:rFonts w:hint="default" w:eastAsia="宋体"/>
          <w:lang w:val="en-US" w:eastAsia="zh-CN"/>
        </w:rPr>
        <w:t>spec impact</w:t>
      </w:r>
      <w:r>
        <w:rPr>
          <w:rFonts w:hint="eastAsia" w:eastAsia="宋体"/>
          <w:lang w:val="en-US" w:eastAsia="zh-CN"/>
        </w:rPr>
        <w:t xml:space="preserve"> and increase standardization complexity</w:t>
      </w:r>
    </w:p>
    <w:p>
      <w:pPr>
        <w:numPr>
          <w:ilvl w:val="0"/>
          <w:numId w:val="14"/>
        </w:numPr>
        <w:ind w:left="420" w:hanging="420"/>
        <w:jc w:val="both"/>
        <w:rPr>
          <w:rFonts w:hint="eastAsia" w:eastAsia="宋体"/>
          <w:bCs/>
          <w:lang w:val="en-US" w:eastAsia="zh-CN"/>
        </w:rPr>
      </w:pPr>
      <w:r>
        <w:rPr>
          <w:rFonts w:hint="default" w:eastAsia="宋体"/>
          <w:lang w:val="en-US" w:eastAsia="zh-CN"/>
        </w:rPr>
        <w:t>gNB flexibility impact</w:t>
      </w:r>
    </w:p>
    <w:p>
      <w:pPr>
        <w:numPr>
          <w:ilvl w:val="-1"/>
          <w:numId w:val="0"/>
        </w:numPr>
        <w:jc w:val="both"/>
        <w:rPr>
          <w:rFonts w:hint="eastAsia"/>
          <w:lang w:val="en-US" w:eastAsia="zh-CN"/>
        </w:rPr>
      </w:pPr>
      <w:r>
        <w:rPr>
          <w:rFonts w:hint="eastAsia" w:eastAsia="宋体"/>
          <w:lang w:val="en-US" w:eastAsia="zh-CN"/>
        </w:rPr>
        <w:t>Option 2: M</w:t>
      </w:r>
      <w:r>
        <w:rPr>
          <w:rFonts w:hint="eastAsia"/>
          <w:lang w:val="en-US" w:eastAsia="zh-CN"/>
        </w:rPr>
        <w:t>onitoring Type0-PDCCH in {n0, n0+X}</w:t>
      </w:r>
    </w:p>
    <w:p>
      <w:pPr>
        <w:numPr>
          <w:ilvl w:val="-1"/>
          <w:numId w:val="0"/>
        </w:numPr>
        <w:jc w:val="both"/>
        <w:rPr>
          <w:rFonts w:hint="default" w:ascii="Times New Roman" w:hAnsi="Times New Roman" w:eastAsia="宋体"/>
          <w:lang w:val="en-US" w:eastAsia="zh-CN"/>
        </w:rPr>
      </w:pPr>
      <w:r>
        <w:rPr>
          <w:rFonts w:hint="eastAsia" w:ascii="Times New Roman" w:hAnsi="Times New Roman" w:eastAsia="宋体"/>
          <w:lang w:val="en-US" w:eastAsia="zh-CN"/>
        </w:rPr>
        <w:t xml:space="preserve">By </w:t>
      </w:r>
      <w:r>
        <w:rPr>
          <w:rFonts w:hint="eastAsia"/>
          <w:lang w:val="en-US" w:eastAsia="zh-CN"/>
        </w:rPr>
        <w:t xml:space="preserve">monitoring Type0-PDCCH in {n0, n0+X} instead of in {n0, n0+1}, the gNB flexibility will not be impacted but it still need CSS reconfiguration and increases standardization complexity. </w:t>
      </w:r>
    </w:p>
    <w:p>
      <w:pPr>
        <w:numPr>
          <w:ilvl w:val="-1"/>
          <w:numId w:val="0"/>
        </w:numPr>
        <w:jc w:val="both"/>
        <w:rPr>
          <w:rFonts w:hint="default" w:eastAsia="宋体"/>
          <w:lang w:val="en-US" w:eastAsia="zh-CN"/>
        </w:rPr>
      </w:pPr>
      <w:r>
        <w:rPr>
          <w:rFonts w:hint="eastAsia" w:eastAsia="宋体"/>
          <w:lang w:val="en-US" w:eastAsia="zh-CN"/>
        </w:rPr>
        <w:t xml:space="preserve">Option 3: </w:t>
      </w:r>
      <w:r>
        <w:rPr>
          <w:rFonts w:hint="default" w:eastAsia="宋体"/>
          <w:lang w:val="en-US" w:eastAsia="zh-CN"/>
        </w:rPr>
        <w:t>The reported capability indicates the BD/CCE budget within Y=max(</w:t>
      </w:r>
      <w:r>
        <w:rPr>
          <w:lang w:val="en-GB"/>
        </w:rPr>
        <w:t>Y</w:t>
      </w:r>
      <w:r>
        <w:rPr>
          <w:vertAlign w:val="subscript"/>
          <w:lang w:val="en-GB"/>
        </w:rPr>
        <w:t>Group1</w:t>
      </w:r>
      <w:r>
        <w:rPr>
          <w:rFonts w:hint="default" w:eastAsia="宋体"/>
          <w:lang w:val="en-US" w:eastAsia="zh-CN"/>
        </w:rPr>
        <w:t xml:space="preserve"> , 2) slots per slot group</w:t>
      </w:r>
      <w:r>
        <w:rPr>
          <w:rFonts w:hint="eastAsia" w:eastAsia="宋体"/>
          <w:lang w:val="en-US" w:eastAsia="zh-CN"/>
        </w:rPr>
        <w:t xml:space="preserve">, </w:t>
      </w:r>
      <w:r>
        <w:rPr>
          <w:rFonts w:hint="eastAsia" w:eastAsia="MS Mincho"/>
          <w:lang w:val="en-US" w:eastAsia="zh-CN"/>
        </w:rPr>
        <w:t>1</w:t>
      </w:r>
      <w:r>
        <w:rPr>
          <w:rFonts w:hint="eastAsia" w:ascii="宋体" w:hAnsi="宋体" w:eastAsia="宋体" w:cs="宋体"/>
          <w:lang w:val="en-US" w:eastAsia="zh-CN"/>
        </w:rPr>
        <w:t>≦</w:t>
      </w:r>
      <w:r>
        <w:rPr>
          <w:lang w:val="en-GB"/>
        </w:rPr>
        <w:t>Y</w:t>
      </w:r>
      <w:r>
        <w:rPr>
          <w:vertAlign w:val="subscript"/>
          <w:lang w:val="en-GB"/>
        </w:rPr>
        <w:t>Group</w:t>
      </w:r>
      <w:r>
        <w:rPr>
          <w:rFonts w:hint="eastAsia" w:eastAsia="宋体"/>
          <w:vertAlign w:val="subscript"/>
          <w:lang w:val="en-US" w:eastAsia="zh-CN"/>
        </w:rPr>
        <w:t>1</w:t>
      </w:r>
      <w:r>
        <w:rPr>
          <w:rFonts w:hint="eastAsia" w:ascii="宋体" w:hAnsi="宋体" w:eastAsia="宋体" w:cs="宋体"/>
          <w:lang w:val="en-US" w:eastAsia="zh-CN"/>
        </w:rPr>
        <w:t>≦</w:t>
      </w:r>
      <w:r>
        <w:rPr>
          <w:rFonts w:hint="eastAsia" w:eastAsia="MS Mincho"/>
          <w:lang w:val="en-US" w:eastAsia="zh-CN"/>
        </w:rPr>
        <w:t>X/2</w:t>
      </w:r>
    </w:p>
    <w:p>
      <w:pPr>
        <w:widowControl w:val="0"/>
        <w:numPr>
          <w:ilvl w:val="-1"/>
          <w:numId w:val="0"/>
        </w:numPr>
        <w:spacing w:after="160"/>
        <w:ind w:left="0" w:firstLine="0"/>
        <w:jc w:val="left"/>
        <w:rPr>
          <w:rFonts w:hint="default"/>
          <w:lang w:val="en-US" w:eastAsia="zh-CN"/>
        </w:rPr>
      </w:pPr>
      <w:r>
        <w:rPr>
          <w:rFonts w:hint="eastAsia" w:eastAsia="宋体"/>
          <w:lang w:val="en-US" w:eastAsia="zh-CN"/>
        </w:rPr>
        <w:t xml:space="preserve">This option can ensure a UE </w:t>
      </w:r>
      <w:r>
        <w:rPr>
          <w:rFonts w:hint="eastAsia"/>
          <w:lang w:val="en-US" w:eastAsia="zh-CN"/>
        </w:rPr>
        <w:t xml:space="preserve">monitor </w:t>
      </w:r>
      <w:r>
        <w:rPr>
          <w:rFonts w:hint="eastAsia"/>
          <w:i w:val="0"/>
          <w:iCs w:val="0"/>
          <w:lang w:val="en-US" w:eastAsia="zh-CN"/>
        </w:rPr>
        <w:t>Type0-PDCCH</w:t>
      </w:r>
      <w:r>
        <w:rPr>
          <w:rFonts w:hint="eastAsia"/>
          <w:lang w:val="en-US" w:eastAsia="zh-CN"/>
        </w:rPr>
        <w:t xml:space="preserve"> over two consecutive slots but will bring</w:t>
      </w:r>
      <w:r>
        <w:rPr>
          <w:rFonts w:hint="eastAsia" w:eastAsia="宋体"/>
          <w:lang w:val="en-US" w:eastAsia="zh-CN"/>
        </w:rPr>
        <w:t xml:space="preserve"> </w:t>
      </w:r>
      <w:r>
        <w:rPr>
          <w:rFonts w:hint="default" w:eastAsia="宋体"/>
          <w:lang w:val="en-US" w:eastAsia="zh-CN"/>
        </w:rPr>
        <w:t>potential back-to-back monitoring issue</w:t>
      </w:r>
      <w:r>
        <w:rPr>
          <w:rFonts w:hint="eastAsia" w:eastAsia="宋体"/>
          <w:lang w:val="en-US" w:eastAsia="zh-CN"/>
        </w:rPr>
        <w:t xml:space="preserve"> when </w:t>
      </w:r>
      <w:r>
        <w:rPr>
          <w:rFonts w:hint="default" w:eastAsia="宋体"/>
          <w:lang w:val="en-US" w:eastAsia="zh-CN"/>
        </w:rPr>
        <w:t>X=2,</w:t>
      </w:r>
      <w:r>
        <w:rPr>
          <w:rFonts w:hint="eastAsia" w:eastAsia="宋体"/>
          <w:lang w:val="en-US" w:eastAsia="zh-CN"/>
        </w:rPr>
        <w:t xml:space="preserve"> </w:t>
      </w:r>
      <w:r>
        <w:rPr>
          <w:rFonts w:hint="default" w:eastAsia="宋体"/>
          <w:lang w:val="en-US" w:eastAsia="zh-CN"/>
        </w:rPr>
        <w:t>Y=2</w:t>
      </w:r>
      <w:r>
        <w:rPr>
          <w:rFonts w:hint="eastAsia" w:eastAsia="宋体"/>
          <w:lang w:val="en-US" w:eastAsia="zh-CN"/>
        </w:rPr>
        <w:t xml:space="preserve"> or due to SSB</w:t>
      </w:r>
      <w:r>
        <w:rPr>
          <w:rFonts w:hint="default" w:eastAsia="宋体"/>
          <w:lang w:val="en-US" w:eastAsia="zh-CN"/>
        </w:rPr>
        <w:t xml:space="preserve"> shifting</w:t>
      </w:r>
      <w:r>
        <w:rPr>
          <w:rFonts w:hint="eastAsia" w:eastAsia="宋体"/>
          <w:lang w:val="en-US" w:eastAsia="zh-CN"/>
        </w:rPr>
        <w:t xml:space="preserve"> as those opponents claimed. However, </w:t>
      </w:r>
      <w:r>
        <w:rPr>
          <w:rFonts w:hint="eastAsia"/>
          <w:lang w:val="en-US" w:eastAsia="zh-CN"/>
        </w:rPr>
        <w:t xml:space="preserve"> if we de-prioritize other optional value of X (e.g. [2] slots for 480/960 kHz), there will not be any back-to back monitoring issues caused by </w:t>
      </w:r>
      <w:r>
        <w:rPr>
          <w:rFonts w:hint="default" w:eastAsia="宋体"/>
          <w:lang w:val="en-US" w:eastAsia="zh-CN"/>
        </w:rPr>
        <w:t>X=Y=2</w:t>
      </w:r>
      <w:r>
        <w:rPr>
          <w:rFonts w:hint="eastAsia" w:eastAsia="宋体"/>
          <w:lang w:val="en-US" w:eastAsia="zh-CN"/>
        </w:rPr>
        <w:t>.</w:t>
      </w:r>
    </w:p>
    <w:p>
      <w:pPr>
        <w:widowControl w:val="0"/>
        <w:numPr>
          <w:ilvl w:val="-1"/>
          <w:numId w:val="0"/>
        </w:numPr>
        <w:spacing w:after="160"/>
        <w:ind w:left="0" w:firstLine="0"/>
        <w:jc w:val="left"/>
        <w:rPr>
          <w:rFonts w:hint="default"/>
          <w:lang w:val="en-US" w:eastAsia="zh-CN"/>
        </w:rPr>
      </w:pPr>
      <w:r>
        <w:rPr>
          <w:rFonts w:hint="eastAsia" w:eastAsia="宋体"/>
          <w:lang w:val="en-US" w:eastAsia="zh-CN"/>
        </w:rPr>
        <w:t xml:space="preserve">Moreover, when </w:t>
      </w:r>
      <w:r>
        <w:rPr>
          <w:rFonts w:hint="eastAsia"/>
          <w:lang w:eastAsia="zh-CN"/>
        </w:rPr>
        <w:t xml:space="preserve">back-to-back monitoring issue happens </w:t>
      </w:r>
      <w:r>
        <w:rPr>
          <w:rFonts w:hint="eastAsia"/>
          <w:lang w:val="en-US" w:eastAsia="zh-CN"/>
        </w:rPr>
        <w:t>because</w:t>
      </w:r>
      <w:r>
        <w:rPr>
          <w:rFonts w:hint="eastAsia"/>
          <w:lang w:eastAsia="zh-CN"/>
        </w:rPr>
        <w:t xml:space="preserve"> the slot index n0 changes </w:t>
      </w:r>
      <w:r>
        <w:rPr>
          <w:rFonts w:hint="eastAsia"/>
          <w:lang w:val="en-US" w:eastAsia="zh-CN"/>
        </w:rPr>
        <w:t xml:space="preserve">due to SSB shifting, </w:t>
      </w:r>
      <w:r>
        <w:rPr>
          <w:rFonts w:hint="eastAsia"/>
          <w:lang w:eastAsia="zh-CN"/>
        </w:rPr>
        <w:t>we do</w:t>
      </w:r>
      <w:r>
        <w:rPr>
          <w:rFonts w:hint="eastAsia"/>
          <w:lang w:val="en-US" w:eastAsia="zh-CN"/>
        </w:rPr>
        <w:t xml:space="preserve"> not</w:t>
      </w:r>
      <w:r>
        <w:rPr>
          <w:rFonts w:hint="eastAsia"/>
          <w:lang w:eastAsia="zh-CN"/>
        </w:rPr>
        <w:t xml:space="preserve"> need to</w:t>
      </w:r>
      <w:r>
        <w:rPr>
          <w:rFonts w:hint="eastAsia"/>
          <w:lang w:val="en-US" w:eastAsia="zh-CN"/>
        </w:rPr>
        <w:t xml:space="preserve"> worry too much about it</w:t>
      </w:r>
      <w:r>
        <w:rPr>
          <w:rFonts w:hint="eastAsia"/>
          <w:lang w:eastAsia="zh-CN"/>
        </w:rPr>
        <w:t xml:space="preserve"> </w:t>
      </w:r>
      <w:r>
        <w:rPr>
          <w:rFonts w:hint="eastAsia"/>
          <w:lang w:val="en-US" w:eastAsia="zh-CN"/>
        </w:rPr>
        <w:t>since SSB shifting is</w:t>
      </w:r>
      <w:r>
        <w:rPr>
          <w:rFonts w:hint="eastAsia"/>
          <w:lang w:eastAsia="zh-CN"/>
        </w:rPr>
        <w:t xml:space="preserve"> a common issue</w:t>
      </w:r>
      <w:r>
        <w:rPr>
          <w:rFonts w:hint="eastAsia"/>
          <w:lang w:val="en-US" w:eastAsia="zh-CN"/>
        </w:rPr>
        <w:t xml:space="preserve"> and it only happens occasionally</w:t>
      </w:r>
      <w:r>
        <w:rPr>
          <w:rFonts w:hint="eastAsia"/>
          <w:lang w:eastAsia="zh-CN"/>
        </w:rPr>
        <w:t>.</w:t>
      </w:r>
      <w:r>
        <w:rPr>
          <w:rFonts w:hint="eastAsia"/>
          <w:lang w:val="en-US" w:eastAsia="zh-CN"/>
        </w:rPr>
        <w:t xml:space="preserve"> Beam sweeping is implemented by changing beam direction for each SSB transmission, and from the measurement result, the SSB with the strongest signal strength is the best beam for the certain UE. After UE access to the cell, the channel can change due to movement, rotation or blocked by buildings, so it is necessary to adjust beam pair in real time to ensure a good connection. In other words, the corresponding SSB of the UE will change in CONNECTED mode and it is inevitable. All of those solutions can more or less suffer from potential back to back monitoring issue.</w:t>
      </w:r>
    </w:p>
    <w:p>
      <w:pPr>
        <w:jc w:val="both"/>
        <w:rPr>
          <w:rFonts w:hint="eastAsia" w:eastAsia="宋体"/>
          <w:b w:val="0"/>
          <w:bCs w:val="0"/>
          <w:lang w:val="en-US" w:eastAsia="zh-CN"/>
        </w:rPr>
      </w:pPr>
      <w:r>
        <w:rPr>
          <w:rFonts w:hint="eastAsia" w:eastAsia="MS Mincho"/>
          <w:lang w:val="en-US" w:eastAsia="zh-CN"/>
        </w:rPr>
        <w:t xml:space="preserve">To sum up, we suggest considering the Option 3 and </w:t>
      </w:r>
      <w:r>
        <w:rPr>
          <w:rFonts w:hint="eastAsia"/>
          <w:lang w:val="en-US" w:eastAsia="zh-CN"/>
        </w:rPr>
        <w:t>de-prioritize other smaller value of X</w:t>
      </w:r>
      <w:r>
        <w:rPr>
          <w:rFonts w:hint="eastAsia" w:eastAsia="宋体"/>
          <w:lang w:val="en-US" w:eastAsia="zh-CN"/>
        </w:rPr>
        <w:t xml:space="preserve">. </w:t>
      </w:r>
      <w:r>
        <w:rPr>
          <w:rFonts w:hint="eastAsia" w:eastAsia="MS Mincho"/>
          <w:lang w:val="en-US" w:eastAsia="zh-CN"/>
        </w:rPr>
        <w:t>As it</w:t>
      </w:r>
      <w:r>
        <w:rPr>
          <w:rFonts w:eastAsia="MS Mincho"/>
          <w:lang w:val="en-US" w:eastAsia="zh-CN"/>
        </w:rPr>
        <w:t xml:space="preserve"> is the simplest and has the lowest standardization complexity, it </w:t>
      </w:r>
      <w:r>
        <w:rPr>
          <w:rFonts w:hint="eastAsia" w:eastAsia="宋体"/>
          <w:lang w:val="en-US" w:eastAsia="zh-CN"/>
        </w:rPr>
        <w:t>could be the basis for defining multi-slot PDCCH monitoring capability.</w:t>
      </w:r>
    </w:p>
    <w:p>
      <w:pPr>
        <w:numPr>
          <w:ilvl w:val="-1"/>
          <w:numId w:val="0"/>
        </w:numPr>
        <w:spacing w:after="40" w:line="240" w:lineRule="auto"/>
        <w:ind w:left="0" w:firstLine="0"/>
        <w:jc w:val="both"/>
        <w:rPr>
          <w:rFonts w:hint="eastAsia" w:eastAsia="宋体"/>
          <w:b/>
          <w:bCs w:val="0"/>
          <w:lang w:val="en-US" w:eastAsia="zh-CN"/>
        </w:rPr>
      </w:pPr>
      <w:r>
        <w:rPr>
          <w:rFonts w:hint="eastAsia" w:eastAsia="宋体"/>
          <w:b/>
          <w:bCs w:val="0"/>
          <w:lang w:val="en-US" w:eastAsia="zh-CN"/>
        </w:rPr>
        <w:t xml:space="preserve">Proposal 3: </w:t>
      </w:r>
    </w:p>
    <w:p>
      <w:pPr>
        <w:numPr>
          <w:ilvl w:val="0"/>
          <w:numId w:val="12"/>
        </w:numPr>
        <w:spacing w:after="0" w:line="260" w:lineRule="auto"/>
        <w:ind w:left="720"/>
        <w:rPr>
          <w:b/>
          <w:bCs/>
        </w:rPr>
      </w:pPr>
      <w:r>
        <w:rPr>
          <w:b/>
          <w:bCs/>
          <w:lang w:val="en-US"/>
        </w:rPr>
        <w:t>The reported capability indicates the BD/CCE budget within Y=max(</w:t>
      </w:r>
      <w:r>
        <w:rPr>
          <w:b/>
          <w:bCs/>
        </w:rPr>
        <w:t>Y</w:t>
      </w:r>
      <w:r>
        <w:rPr>
          <w:b/>
          <w:bCs/>
          <w:vertAlign w:val="subscript"/>
        </w:rPr>
        <w:t>Group1</w:t>
      </w:r>
      <w:r>
        <w:rPr>
          <w:b/>
          <w:bCs/>
        </w:rPr>
        <w:t>, 2</w:t>
      </w:r>
      <w:r>
        <w:rPr>
          <w:b/>
          <w:bCs/>
          <w:lang w:val="en-US"/>
        </w:rPr>
        <w:t>) slots per slot group</w:t>
      </w:r>
    </w:p>
    <w:p>
      <w:pPr>
        <w:numPr>
          <w:ilvl w:val="0"/>
          <w:numId w:val="12"/>
        </w:numPr>
        <w:spacing w:after="0" w:line="260" w:lineRule="auto"/>
        <w:ind w:left="720"/>
        <w:rPr>
          <w:b/>
          <w:bCs/>
        </w:rPr>
      </w:pPr>
      <w:r>
        <w:rPr>
          <w:b/>
          <w:bCs/>
        </w:rPr>
        <w:t>Support the following values of Y</w:t>
      </w:r>
      <w:r>
        <w:rPr>
          <w:b/>
          <w:bCs/>
          <w:vertAlign w:val="subscript"/>
        </w:rPr>
        <w:t>Group1</w:t>
      </w:r>
      <w:r>
        <w:rPr>
          <w:b/>
          <w:bCs/>
        </w:rPr>
        <w:t xml:space="preserve"> and Y</w:t>
      </w:r>
      <w:r>
        <w:rPr>
          <w:b/>
          <w:bCs/>
          <w:vertAlign w:val="subscript"/>
        </w:rPr>
        <w:t>Group2</w:t>
      </w:r>
    </w:p>
    <w:p>
      <w:pPr>
        <w:numPr>
          <w:ilvl w:val="1"/>
          <w:numId w:val="12"/>
        </w:numPr>
        <w:spacing w:after="0" w:line="260" w:lineRule="auto"/>
        <w:ind w:left="1440"/>
        <w:rPr>
          <w:b/>
          <w:bCs/>
        </w:rPr>
      </w:pPr>
      <w:r>
        <w:rPr>
          <w:b/>
          <w:bCs/>
        </w:rPr>
        <w:t>For X=8: (Y</w:t>
      </w:r>
      <w:r>
        <w:rPr>
          <w:b/>
          <w:bCs/>
          <w:vertAlign w:val="subscript"/>
        </w:rPr>
        <w:t>Group1</w:t>
      </w:r>
      <w:r>
        <w:rPr>
          <w:b/>
          <w:bCs/>
        </w:rPr>
        <w:t>,Y</w:t>
      </w:r>
      <w:r>
        <w:rPr>
          <w:b/>
          <w:bCs/>
          <w:vertAlign w:val="subscript"/>
        </w:rPr>
        <w:t>Group2</w:t>
      </w:r>
      <w:r>
        <w:rPr>
          <w:b/>
          <w:bCs/>
        </w:rPr>
        <w:t>) = (4,2),</w:t>
      </w:r>
      <w:r>
        <w:rPr>
          <w:rFonts w:hint="eastAsia" w:eastAsia="宋体"/>
          <w:b/>
          <w:bCs/>
          <w:highlight w:val="none"/>
          <w:lang w:val="en-US" w:eastAsia="zh-CN"/>
        </w:rPr>
        <w:t xml:space="preserve"> (3,2)</w:t>
      </w:r>
      <w:r>
        <w:rPr>
          <w:rFonts w:hint="eastAsia" w:eastAsia="宋体"/>
          <w:b/>
          <w:bCs/>
          <w:lang w:val="en-US" w:eastAsia="zh-CN"/>
        </w:rPr>
        <w:t>,</w:t>
      </w:r>
      <w:r>
        <w:rPr>
          <w:b/>
          <w:bCs/>
        </w:rPr>
        <w:t xml:space="preserve"> (2,2), (1,2)</w:t>
      </w:r>
    </w:p>
    <w:p>
      <w:pPr>
        <w:numPr>
          <w:ilvl w:val="1"/>
          <w:numId w:val="12"/>
        </w:numPr>
        <w:spacing w:after="0" w:line="260" w:lineRule="auto"/>
        <w:ind w:left="1440"/>
        <w:rPr>
          <w:b/>
          <w:bCs/>
        </w:rPr>
      </w:pPr>
      <w:r>
        <w:rPr>
          <w:b/>
          <w:bCs/>
        </w:rPr>
        <w:t>For X=4: (Y</w:t>
      </w:r>
      <w:r>
        <w:rPr>
          <w:b/>
          <w:bCs/>
          <w:vertAlign w:val="subscript"/>
        </w:rPr>
        <w:t>Group1</w:t>
      </w:r>
      <w:r>
        <w:rPr>
          <w:b/>
          <w:bCs/>
        </w:rPr>
        <w:t>,Y</w:t>
      </w:r>
      <w:r>
        <w:rPr>
          <w:b/>
          <w:bCs/>
          <w:vertAlign w:val="subscript"/>
        </w:rPr>
        <w:t>Group2</w:t>
      </w:r>
      <w:r>
        <w:rPr>
          <w:b/>
          <w:bCs/>
        </w:rPr>
        <w:t>) = (2,2), (1, 2)</w:t>
      </w:r>
    </w:p>
    <w:p>
      <w:pPr>
        <w:numPr>
          <w:ilvl w:val="-1"/>
          <w:numId w:val="0"/>
        </w:numPr>
        <w:spacing w:after="0" w:line="260" w:lineRule="auto"/>
        <w:ind w:left="360" w:firstLine="0"/>
        <w:rPr>
          <w:b/>
          <w:bCs/>
        </w:rPr>
      </w:pPr>
      <w:r>
        <w:rPr>
          <w:b/>
          <w:bCs/>
        </w:rPr>
        <w:t>Group (1) SS: Type 1 CSS with dedicated RRC configuration and type 3 CSS, UE specific SS</w:t>
      </w:r>
    </w:p>
    <w:p>
      <w:pPr>
        <w:numPr>
          <w:ilvl w:val="-1"/>
          <w:numId w:val="0"/>
        </w:numPr>
        <w:spacing w:after="0" w:line="260" w:lineRule="auto"/>
        <w:ind w:left="360" w:firstLine="0"/>
        <w:jc w:val="left"/>
        <w:rPr>
          <w:rFonts w:hint="eastAsia"/>
          <w:b/>
          <w:bCs/>
          <w:lang w:val="en-US" w:eastAsia="zh-CN"/>
        </w:rPr>
      </w:pPr>
      <w:r>
        <w:rPr>
          <w:b/>
          <w:bCs/>
        </w:rPr>
        <w:t>Group (2) SS: Type 1 CSS without dedicated RRC configuration and type 0, 0A, and 2 CSS</w:t>
      </w:r>
    </w:p>
    <w:p>
      <w:pPr>
        <w:pStyle w:val="3"/>
        <w:numPr>
          <w:ilvl w:val="1"/>
          <w:numId w:val="0"/>
        </w:numPr>
        <w:snapToGrid w:val="0"/>
        <w:spacing w:after="240" w:line="260" w:lineRule="auto"/>
        <w:rPr>
          <w:rFonts w:hint="default"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2</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Per-slot BD/CCE budget</w:t>
      </w:r>
    </w:p>
    <w:p>
      <w:pPr>
        <w:numPr>
          <w:ilvl w:val="-1"/>
          <w:numId w:val="0"/>
        </w:numPr>
        <w:snapToGrid w:val="0"/>
        <w:spacing w:after="40" w:line="240" w:lineRule="auto"/>
        <w:ind w:left="0" w:firstLine="0"/>
        <w:jc w:val="both"/>
        <w:rPr>
          <w:rFonts w:hint="default" w:eastAsia="宋体"/>
          <w:b/>
          <w:bCs/>
          <w:lang w:val="en-US" w:eastAsia="zh-CN"/>
        </w:rPr>
      </w:pPr>
      <w:r>
        <w:rPr>
          <w:rFonts w:hint="eastAsia"/>
          <w:lang w:val="en-US"/>
        </w:rPr>
        <w:t>In the RAN1 #10</w:t>
      </w:r>
      <w:r>
        <w:rPr>
          <w:rFonts w:hint="eastAsia" w:eastAsia="宋体"/>
          <w:lang w:val="en-US" w:eastAsia="zh-CN"/>
        </w:rPr>
        <w:t>6bis</w:t>
      </w:r>
      <w:r>
        <w:rPr>
          <w:rFonts w:hint="eastAsia"/>
          <w:lang w:val="en-US"/>
        </w:rPr>
        <w:t xml:space="preserve"> e-meeting</w:t>
      </w:r>
      <w:r>
        <w:rPr>
          <w:rFonts w:hint="eastAsia" w:eastAsia="宋体"/>
          <w:lang w:val="en-US" w:eastAsia="zh-CN"/>
        </w:rPr>
        <w:t>, many companies suggest to take the numbers for 120kHz as the reference for multi-slot PDCCH monitoring and the following proposal was made:</w:t>
      </w:r>
    </w:p>
    <w:p>
      <w:pPr>
        <w:pStyle w:val="125"/>
        <w:numPr>
          <w:ilvl w:val="0"/>
          <w:numId w:val="15"/>
        </w:numPr>
        <w:rPr>
          <w:b w:val="0"/>
          <w:bCs w:val="0"/>
          <w:sz w:val="20"/>
          <w:szCs w:val="20"/>
          <w:lang w:eastAsia="zh-CN"/>
        </w:rPr>
      </w:pPr>
      <w:r>
        <w:rPr>
          <w:b w:val="0"/>
          <w:bCs w:val="0"/>
          <w:sz w:val="20"/>
          <w:szCs w:val="20"/>
          <w:lang w:eastAsia="zh-CN"/>
        </w:rPr>
        <w:t>The following limits apply for multi-slot monitoring within X slots</w:t>
      </w:r>
    </w:p>
    <w:p>
      <w:pPr>
        <w:pStyle w:val="125"/>
        <w:numPr>
          <w:ilvl w:val="1"/>
          <w:numId w:val="15"/>
        </w:numPr>
        <w:rPr>
          <w:sz w:val="20"/>
          <w:szCs w:val="20"/>
          <w:lang w:val="en-GB" w:eastAsia="zh-CN"/>
        </w:rPr>
      </w:pPr>
      <w:r>
        <w:rPr>
          <w:b w:val="0"/>
          <w:bCs w:val="0"/>
          <w:sz w:val="20"/>
          <w:szCs w:val="20"/>
        </w:rPr>
        <w:t>The maximum number of monitored PDCCH candidates per X=4 slots for a DL BWP with 480 kHz SCS configuration</w:t>
      </w:r>
      <w:r>
        <w:rPr>
          <w:rFonts w:hint="eastAsia"/>
          <w:b w:val="0"/>
          <w:bCs w:val="0"/>
          <w:sz w:val="20"/>
          <w:szCs w:val="20"/>
          <w:lang w:eastAsia="zh-CN"/>
        </w:rPr>
        <w:t xml:space="preserve"> </w:t>
      </w:r>
      <w:r>
        <w:rPr>
          <w:b w:val="0"/>
          <w:bCs w:val="0"/>
          <w:sz w:val="20"/>
          <w:szCs w:val="20"/>
        </w:rPr>
        <w:t>for a single serving cell is 20.</w:t>
      </w:r>
    </w:p>
    <w:p>
      <w:pPr>
        <w:pStyle w:val="125"/>
        <w:numPr>
          <w:ilvl w:val="1"/>
          <w:numId w:val="15"/>
        </w:numPr>
        <w:rPr>
          <w:sz w:val="20"/>
          <w:szCs w:val="20"/>
          <w:lang w:val="en-GB" w:eastAsia="zh-CN"/>
        </w:rPr>
      </w:pPr>
      <w:r>
        <w:rPr>
          <w:b w:val="0"/>
          <w:bCs w:val="0"/>
          <w:sz w:val="20"/>
          <w:szCs w:val="20"/>
        </w:rPr>
        <w:t>The maximum number of monitored PDCCH candidates per</w:t>
      </w:r>
      <w:r>
        <w:rPr>
          <w:b w:val="0"/>
          <w:bCs w:val="0"/>
          <w:color w:val="FF0000"/>
          <w:sz w:val="20"/>
          <w:szCs w:val="20"/>
        </w:rPr>
        <w:t xml:space="preserve"> </w:t>
      </w:r>
      <w:r>
        <w:rPr>
          <w:b w:val="0"/>
          <w:bCs w:val="0"/>
          <w:sz w:val="20"/>
          <w:szCs w:val="20"/>
        </w:rPr>
        <w:t>X=8 slots for a DL BWP with 960 kHz SCS configuration</w:t>
      </w:r>
      <w:r>
        <w:rPr>
          <w:rFonts w:hint="eastAsia"/>
          <w:b w:val="0"/>
          <w:bCs w:val="0"/>
          <w:sz w:val="20"/>
          <w:szCs w:val="20"/>
          <w:lang w:eastAsia="zh-CN"/>
        </w:rPr>
        <w:t xml:space="preserve"> </w:t>
      </w:r>
      <w:r>
        <w:rPr>
          <w:b w:val="0"/>
          <w:bCs w:val="0"/>
          <w:sz w:val="20"/>
          <w:szCs w:val="20"/>
        </w:rPr>
        <w:t>for a single serving cell is 20.</w:t>
      </w:r>
    </w:p>
    <w:p>
      <w:pPr>
        <w:pStyle w:val="125"/>
        <w:numPr>
          <w:ilvl w:val="1"/>
          <w:numId w:val="15"/>
        </w:numPr>
        <w:rPr>
          <w:sz w:val="20"/>
          <w:szCs w:val="20"/>
          <w:lang w:val="en-GB" w:eastAsia="zh-CN"/>
        </w:rPr>
      </w:pPr>
      <w:r>
        <w:rPr>
          <w:b w:val="0"/>
          <w:bCs w:val="0"/>
          <w:sz w:val="20"/>
          <w:szCs w:val="20"/>
        </w:rPr>
        <w:t>The maximum number of of non-overlapped CCEs per</w:t>
      </w:r>
      <w:r>
        <w:rPr>
          <w:b w:val="0"/>
          <w:bCs w:val="0"/>
          <w:color w:val="FF0000"/>
          <w:sz w:val="20"/>
          <w:szCs w:val="20"/>
        </w:rPr>
        <w:t xml:space="preserve"> </w:t>
      </w:r>
      <w:r>
        <w:rPr>
          <w:b w:val="0"/>
          <w:bCs w:val="0"/>
          <w:sz w:val="20"/>
          <w:szCs w:val="20"/>
        </w:rPr>
        <w:t>X=4 slots for a DL BWP with 480 kHz SCS configuration</w:t>
      </w:r>
      <w:r>
        <w:rPr>
          <w:rFonts w:hint="eastAsia"/>
          <w:b w:val="0"/>
          <w:bCs w:val="0"/>
          <w:sz w:val="20"/>
          <w:szCs w:val="20"/>
          <w:lang w:eastAsia="zh-CN"/>
        </w:rPr>
        <w:t xml:space="preserve"> </w:t>
      </w:r>
      <w:r>
        <w:rPr>
          <w:b w:val="0"/>
          <w:bCs w:val="0"/>
          <w:sz w:val="20"/>
          <w:szCs w:val="20"/>
        </w:rPr>
        <w:t>for a single serving cell is 32.</w:t>
      </w:r>
    </w:p>
    <w:p>
      <w:pPr>
        <w:pStyle w:val="125"/>
        <w:numPr>
          <w:ilvl w:val="1"/>
          <w:numId w:val="15"/>
        </w:numPr>
        <w:rPr>
          <w:sz w:val="20"/>
          <w:szCs w:val="20"/>
          <w:lang w:val="en-GB" w:eastAsia="zh-CN"/>
        </w:rPr>
      </w:pPr>
      <w:r>
        <w:rPr>
          <w:b w:val="0"/>
          <w:bCs w:val="0"/>
          <w:sz w:val="20"/>
          <w:szCs w:val="20"/>
        </w:rPr>
        <w:t>The maximum number of of non-overlapped CCEs per</w:t>
      </w:r>
      <w:r>
        <w:rPr>
          <w:b w:val="0"/>
          <w:bCs w:val="0"/>
          <w:color w:val="FF0000"/>
          <w:sz w:val="20"/>
          <w:szCs w:val="20"/>
        </w:rPr>
        <w:t xml:space="preserve"> </w:t>
      </w:r>
      <w:r>
        <w:rPr>
          <w:b w:val="0"/>
          <w:bCs w:val="0"/>
          <w:sz w:val="20"/>
          <w:szCs w:val="20"/>
        </w:rPr>
        <w:t>X=8 slots for a DL BWP with 960 kHz SCS configuration</w:t>
      </w:r>
      <w:r>
        <w:rPr>
          <w:rFonts w:hint="eastAsia"/>
          <w:b w:val="0"/>
          <w:bCs w:val="0"/>
          <w:sz w:val="20"/>
          <w:szCs w:val="20"/>
          <w:lang w:eastAsia="zh-CN"/>
        </w:rPr>
        <w:t xml:space="preserve"> </w:t>
      </w:r>
      <w:r>
        <w:rPr>
          <w:b w:val="0"/>
          <w:bCs w:val="0"/>
          <w:sz w:val="20"/>
          <w:szCs w:val="20"/>
        </w:rPr>
        <w:t>for a single serving cell is 32.</w:t>
      </w:r>
    </w:p>
    <w:p>
      <w:pPr>
        <w:pStyle w:val="125"/>
        <w:numPr>
          <w:ilvl w:val="0"/>
          <w:numId w:val="15"/>
        </w:numPr>
        <w:spacing w:after="180" w:line="260" w:lineRule="auto"/>
        <w:ind w:left="726" w:hanging="363"/>
        <w:rPr>
          <w:b w:val="0"/>
          <w:bCs w:val="0"/>
          <w:sz w:val="20"/>
          <w:szCs w:val="20"/>
          <w:lang w:val="en-GB" w:eastAsia="zh-CN"/>
        </w:rPr>
      </w:pPr>
      <w:r>
        <w:rPr>
          <w:b w:val="0"/>
          <w:bCs w:val="0"/>
          <w:sz w:val="20"/>
          <w:szCs w:val="20"/>
          <w:lang w:eastAsia="zh-CN"/>
        </w:rPr>
        <w:t>FFS: Monitoring constraints for some search spaces may be based on Y slots.</w:t>
      </w:r>
    </w:p>
    <w:p>
      <w:pPr>
        <w:numPr>
          <w:ilvl w:val="-1"/>
          <w:numId w:val="0"/>
        </w:numPr>
        <w:snapToGrid w:val="0"/>
        <w:spacing w:after="40" w:line="240" w:lineRule="auto"/>
        <w:ind w:left="0" w:firstLine="0"/>
        <w:jc w:val="both"/>
        <w:rPr>
          <w:rFonts w:hint="eastAsia" w:eastAsia="宋体"/>
          <w:b w:val="0"/>
          <w:bCs w:val="0"/>
          <w:lang w:val="en-US" w:eastAsia="zh-CN"/>
        </w:rPr>
      </w:pPr>
      <w:r>
        <w:rPr>
          <w:rFonts w:hint="eastAsia" w:eastAsia="宋体"/>
          <w:b w:val="0"/>
          <w:bCs w:val="0"/>
          <w:lang w:val="en-US" w:eastAsia="zh-CN"/>
        </w:rPr>
        <w:t xml:space="preserve">However, on the one hand, if no consensus was made on how to define multi-slot PDCCH monitoring capability especially for the CSS configuration issue, we may have to conclude that Rel-17 will not support multi-slot PDCCH monitoring for SCS 480 kHz and 960 kHz as the moderator said. Thus there is a strong need to consider </w:t>
      </w:r>
      <w:r>
        <w:rPr>
          <w:rFonts w:hint="eastAsia"/>
          <w:lang w:val="en-US" w:eastAsia="zh-CN"/>
        </w:rPr>
        <w:t>BD/CCE budget for per slot PDCCH monitoring.</w:t>
      </w:r>
      <w:r>
        <w:rPr>
          <w:rFonts w:hint="eastAsia" w:eastAsia="宋体"/>
          <w:b w:val="0"/>
          <w:bCs w:val="0"/>
          <w:lang w:val="en-US" w:eastAsia="zh-CN"/>
        </w:rPr>
        <w:t xml:space="preserve"> </w:t>
      </w:r>
    </w:p>
    <w:p>
      <w:pPr>
        <w:jc w:val="both"/>
      </w:pPr>
      <w:r>
        <w:rPr>
          <w:rFonts w:hint="eastAsia" w:eastAsia="宋体"/>
          <w:b w:val="0"/>
          <w:bCs w:val="0"/>
          <w:lang w:val="en-US" w:eastAsia="zh-CN"/>
        </w:rPr>
        <w:t xml:space="preserve">On the other hand, </w:t>
      </w:r>
      <w:r>
        <w:rPr>
          <w:rFonts w:hint="eastAsia" w:eastAsia="MS Mincho"/>
          <w:lang w:val="en-US" w:eastAsia="zh-CN"/>
        </w:rPr>
        <w:t>per-slot PDCCH</w:t>
      </w:r>
      <w:r>
        <w:rPr>
          <w:rFonts w:hint="eastAsia"/>
          <w:lang w:eastAsia="zh-CN"/>
        </w:rPr>
        <w:t xml:space="preserve"> monitoring can be considered as a special case of multi-slot </w:t>
      </w:r>
      <w:r>
        <w:rPr>
          <w:rFonts w:hint="eastAsia"/>
          <w:lang w:val="en-US" w:eastAsia="zh-CN"/>
        </w:rPr>
        <w:t xml:space="preserve">PDCCH </w:t>
      </w:r>
      <w:r>
        <w:rPr>
          <w:rFonts w:hint="eastAsia"/>
          <w:lang w:eastAsia="zh-CN"/>
        </w:rPr>
        <w:t>monitoring</w:t>
      </w:r>
      <w:r>
        <w:rPr>
          <w:rFonts w:hint="eastAsia"/>
          <w:lang w:val="en-US" w:eastAsia="zh-CN"/>
        </w:rPr>
        <w:t xml:space="preserve"> if it is supported. </w:t>
      </w:r>
      <w:r>
        <w:t xml:space="preserve">Although the number of BD/CCE shall be strictly limited for </w:t>
      </w:r>
      <w:r>
        <w:rPr>
          <w:rFonts w:hint="eastAsia" w:eastAsia="宋体"/>
          <w:lang w:val="en-US" w:eastAsia="zh-CN"/>
        </w:rPr>
        <w:t xml:space="preserve">per </w:t>
      </w:r>
      <w:r>
        <w:t xml:space="preserve">slot </w:t>
      </w:r>
      <w:r>
        <w:rPr>
          <w:rFonts w:hint="eastAsia" w:eastAsia="宋体"/>
          <w:lang w:val="en-US" w:eastAsia="zh-CN"/>
        </w:rPr>
        <w:t xml:space="preserve">PDCCH </w:t>
      </w:r>
      <w:r>
        <w:t>monitoring,</w:t>
      </w:r>
      <w:r>
        <w:rPr>
          <w:rFonts w:hint="eastAsia" w:eastAsia="MS Mincho"/>
          <w:lang w:val="en-US" w:eastAsia="zh-CN"/>
        </w:rPr>
        <w:t xml:space="preserve"> it still has many usage scenarios, such as in low latency traffic and flexible scheduling case. </w:t>
      </w:r>
      <w:r>
        <w:rPr>
          <w:rFonts w:hint="eastAsia"/>
          <w:lang w:val="en-US" w:eastAsia="zh-CN"/>
        </w:rPr>
        <w:t>UE capability for per slot PDCCH monitoring (X = 1)</w:t>
      </w:r>
      <w:r>
        <w:rPr>
          <w:rFonts w:hint="eastAsia"/>
          <w:lang w:eastAsia="zh-CN"/>
        </w:rPr>
        <w:t xml:space="preserve"> should not be </w:t>
      </w:r>
      <w:r>
        <w:rPr>
          <w:rFonts w:hint="eastAsia"/>
          <w:lang w:val="en-US" w:eastAsia="zh-CN"/>
        </w:rPr>
        <w:t xml:space="preserve">precluded and a UE can indicate a </w:t>
      </w:r>
      <w:r>
        <w:rPr>
          <w:lang w:eastAsia="ko-KR"/>
        </w:rPr>
        <w:t>capability to monitor</w:t>
      </w:r>
      <w:r>
        <w:rPr>
          <w:rFonts w:hint="eastAsia"/>
          <w:lang w:val="en-US" w:eastAsia="zh-CN"/>
        </w:rPr>
        <w:t xml:space="preserve"> multi-slot or per-slot</w:t>
      </w:r>
      <w:r>
        <w:rPr>
          <w:lang w:eastAsia="ko-KR"/>
        </w:rPr>
        <w:t xml:space="preserve"> PDCCH</w:t>
      </w:r>
      <w:r>
        <w:rPr>
          <w:rFonts w:hint="eastAsia"/>
          <w:lang w:val="en-US" w:eastAsia="zh-CN"/>
        </w:rPr>
        <w:t xml:space="preserve"> </w:t>
      </w:r>
      <w:r>
        <w:rPr>
          <w:lang w:val="en-US"/>
        </w:rPr>
        <w:t>on the active DL BWP of the serving cell</w:t>
      </w:r>
      <w:r>
        <w:t>.</w:t>
      </w:r>
    </w:p>
    <w:p>
      <w:pPr>
        <w:numPr>
          <w:ilvl w:val="-1"/>
          <w:numId w:val="0"/>
        </w:numPr>
        <w:snapToGrid w:val="0"/>
        <w:spacing w:after="40" w:line="240" w:lineRule="auto"/>
        <w:ind w:left="0" w:firstLine="0"/>
        <w:jc w:val="both"/>
        <w:rPr>
          <w:rFonts w:hint="eastAsia" w:eastAsia="宋体"/>
          <w:lang w:val="en-US" w:eastAsia="zh-CN"/>
        </w:rPr>
      </w:pPr>
      <w:r>
        <w:rPr>
          <w:rFonts w:hint="eastAsia" w:eastAsia="宋体"/>
          <w:b w:val="0"/>
          <w:bCs w:val="0"/>
          <w:lang w:val="en-US" w:eastAsia="zh-CN"/>
        </w:rPr>
        <w:t xml:space="preserve">We suggest taking Table 1 as a reference to define </w:t>
      </w:r>
      <w:r>
        <w:rPr>
          <w:rFonts w:hint="eastAsia" w:eastAsia="宋体"/>
          <w:lang w:val="en-US" w:eastAsia="zh-CN"/>
        </w:rPr>
        <w:t xml:space="preserve">the maximum number of monitored PDCCH candidates and maximum number of non-overlapping CCEs in a slot </w:t>
      </w:r>
      <w:r>
        <w:rPr>
          <w:rFonts w:hint="eastAsia" w:eastAsia="宋体"/>
          <w:b w:val="0"/>
          <w:bCs w:val="0"/>
          <w:lang w:val="en-US" w:eastAsia="zh-CN"/>
        </w:rPr>
        <w:t xml:space="preserve">for SCS 480 kHz and 960 kHz. </w:t>
      </w:r>
      <w:r>
        <w:rPr>
          <w:rFonts w:hint="eastAsia" w:eastAsia="宋体"/>
          <w:lang w:val="en-US" w:eastAsia="zh-CN"/>
        </w:rPr>
        <w:t xml:space="preserve">For NR operation above 52.6 GHz, </w:t>
      </w:r>
      <w:r>
        <w:rPr>
          <w:rFonts w:hint="eastAsia"/>
          <w:lang w:val="en-US" w:eastAsia="zh-CN"/>
        </w:rPr>
        <w:t>BD/CCE budget</w:t>
      </w:r>
      <w:r>
        <w:rPr>
          <w:rFonts w:hint="eastAsia" w:eastAsia="宋体"/>
          <w:lang w:val="en-US" w:eastAsia="zh-CN"/>
        </w:rPr>
        <w:t xml:space="preserve"> can be further decreased with increasing value of SCSs. In order to avoid affecting</w:t>
      </w:r>
      <w:r>
        <w:rPr>
          <w:rFonts w:hint="eastAsia" w:eastAsia="宋体"/>
          <w:bCs/>
          <w:lang w:val="en-US" w:eastAsia="zh-CN"/>
        </w:rPr>
        <w:t xml:space="preserve"> the detection performance of PDCCH, the value of </w:t>
      </w:r>
      <w:r>
        <w:rPr>
          <w:position w:val="-10"/>
          <w:lang w:val="en-US" w:eastAsia="zh-CN"/>
        </w:rPr>
        <w:drawing>
          <wp:inline distT="0" distB="0" distL="0" distR="0">
            <wp:extent cx="485775" cy="247650"/>
            <wp:effectExtent l="0" t="0" r="9525" b="0"/>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r>
        <w:rPr>
          <w:rFonts w:hint="eastAsia" w:eastAsia="宋体"/>
          <w:bCs/>
          <w:lang w:val="en-US" w:eastAsia="zh-CN"/>
        </w:rPr>
        <w:t xml:space="preserve"> for SCS 960 kHz should be no less than 16 and enable the highest CCE aggregation level. Moreover, </w:t>
      </w:r>
      <w:r>
        <w:rPr>
          <w:rFonts w:hint="eastAsia" w:eastAsia="宋体"/>
          <w:lang w:val="en-US" w:eastAsia="zh-CN"/>
        </w:rPr>
        <w:t xml:space="preserve">the value of </w:t>
      </w:r>
      <w:r>
        <w:rPr>
          <w:rFonts w:ascii="Times New Roman" w:hAnsi="Times New Roman" w:eastAsia="Times New Roman" w:cs="Times New Roman"/>
          <w:b w:val="0"/>
          <w:bCs/>
          <w:kern w:val="0"/>
          <w:position w:val="-10"/>
          <w:sz w:val="18"/>
          <w:szCs w:val="20"/>
        </w:rPr>
        <w:drawing>
          <wp:inline distT="0" distB="0" distL="0" distR="0">
            <wp:extent cx="556260" cy="236220"/>
            <wp:effectExtent l="0" t="0" r="0" b="1270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rPr>
          <w:rFonts w:hint="eastAsia" w:eastAsia="宋体"/>
          <w:lang w:val="en-US" w:eastAsia="zh-CN"/>
        </w:rPr>
        <w:t xml:space="preserve"> should be large enough to guarantee the flexibility of scheduling.</w:t>
      </w:r>
    </w:p>
    <w:p>
      <w:pPr>
        <w:keepNext/>
        <w:keepLines/>
        <w:overflowPunct w:val="0"/>
        <w:autoSpaceDE w:val="0"/>
        <w:autoSpaceDN w:val="0"/>
        <w:adjustRightInd w:val="0"/>
        <w:spacing w:before="60" w:after="180"/>
        <w:ind w:left="0"/>
        <w:jc w:val="center"/>
        <w:textAlignment w:val="baseline"/>
        <w:rPr>
          <w:rFonts w:ascii="Times New Roman" w:hAnsi="Times New Roman" w:eastAsia="Times New Roman" w:cs="Times New Roman"/>
          <w:b w:val="0"/>
          <w:bCs/>
          <w:kern w:val="0"/>
          <w:sz w:val="20"/>
          <w:szCs w:val="20"/>
          <w:lang w:val="en-GB" w:eastAsia="en-GB"/>
        </w:rPr>
      </w:pPr>
      <w:r>
        <w:rPr>
          <w:rFonts w:ascii="Times New Roman" w:hAnsi="Times New Roman" w:eastAsia="Times New Roman" w:cs="Times New Roman"/>
          <w:b w:val="0"/>
          <w:bCs/>
          <w:kern w:val="0"/>
          <w:sz w:val="20"/>
          <w:szCs w:val="20"/>
          <w:lang w:val="en-GB" w:eastAsia="en-GB"/>
        </w:rPr>
        <w:t xml:space="preserve">Table 1: Maximum number </w:t>
      </w:r>
      <w:r>
        <w:rPr>
          <w:rFonts w:ascii="Times New Roman" w:hAnsi="Times New Roman" w:eastAsia="Times New Roman" w:cs="Times New Roman"/>
          <w:b w:val="0"/>
          <w:bCs/>
          <w:kern w:val="0"/>
          <w:position w:val="-10"/>
          <w:sz w:val="20"/>
          <w:szCs w:val="20"/>
        </w:rPr>
        <w:drawing>
          <wp:inline distT="0" distB="0" distL="0" distR="0">
            <wp:extent cx="556260" cy="236220"/>
            <wp:effectExtent l="0" t="0" r="0" b="1270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rPr>
          <w:rFonts w:ascii="Times New Roman" w:hAnsi="Times New Roman" w:eastAsia="Times New Roman" w:cs="Times New Roman"/>
          <w:b w:val="0"/>
          <w:bCs/>
          <w:kern w:val="0"/>
          <w:sz w:val="20"/>
          <w:szCs w:val="20"/>
          <w:lang w:val="en-GB" w:eastAsia="en-GB"/>
        </w:rPr>
        <w:t xml:space="preserve"> of monitored PDCCH candidates and non-overlapped CCEs per slot for a DL BWP with SCS configuration </w:t>
      </w:r>
      <w:r>
        <w:rPr>
          <w:rFonts w:ascii="Times New Roman" w:hAnsi="Times New Roman" w:cs="Times New Roman"/>
        </w:rPr>
        <w:t xml:space="preserve"> </w:t>
      </w:r>
      <w:r>
        <w:rPr>
          <w:rFonts w:ascii="Times New Roman" w:hAnsi="Times New Roman" w:cs="Times New Roman"/>
          <w:position w:val="-10"/>
        </w:rPr>
        <w:object>
          <v:shape id="_x0000_i1025" o:spt="75" type="#_x0000_t75" style="height:16pt;width:78.95pt;" o:ole="t" filled="f" o:preferrelative="t" stroked="f" coordsize="21600,21600">
            <v:path/>
            <v:fill on="f" focussize="0,0"/>
            <v:stroke on="f"/>
            <v:imagedata r:id="rId12" o:title=""/>
            <o:lock v:ext="edit" aspectratio="t"/>
            <w10:wrap type="none"/>
            <w10:anchorlock/>
          </v:shape>
          <o:OLEObject Type="Embed" ProgID="Equation.KSEE3" ShapeID="_x0000_i1025" DrawAspect="Content" ObjectID="_1468075725" r:id="rId11">
            <o:LockedField>false</o:LockedField>
          </o:OLEObject>
        </w:object>
      </w:r>
      <w:r>
        <w:rPr>
          <w:rFonts w:ascii="Times New Roman" w:hAnsi="Times New Roman" w:eastAsia="Times New Roman" w:cs="Times New Roman"/>
          <w:b w:val="0"/>
          <w:bCs/>
          <w:kern w:val="0"/>
          <w:sz w:val="20"/>
          <w:szCs w:val="20"/>
          <w:lang w:val="en-GB" w:eastAsia="en-GB"/>
        </w:rPr>
        <w:t xml:space="preserve"> for a single serving cell</w:t>
      </w:r>
    </w:p>
    <w:p>
      <w:pPr>
        <w:ind w:left="0"/>
        <w:jc w:val="left"/>
        <w:rPr>
          <w:rFonts w:ascii="Times New Roman" w:hAnsi="Times New Roman" w:eastAsia="Batang" w:cs="Times New Roman"/>
          <w:kern w:val="0"/>
          <w:sz w:val="20"/>
          <w:szCs w:val="20"/>
          <w:lang w:val="en-GB" w:eastAsia="en-US"/>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36"/>
        <w:gridCol w:w="3163"/>
        <w:gridCol w:w="2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jc w:val="center"/>
        </w:trPr>
        <w:tc>
          <w:tcPr>
            <w:tcW w:w="636" w:type="dxa"/>
            <w:shd w:val="clear" w:color="auto" w:fill="E0E0E0"/>
            <w:vAlign w:val="center"/>
          </w:tcPr>
          <w:p>
            <w:pPr>
              <w:keepNext/>
              <w:keepLines/>
              <w:overflowPunct w:val="0"/>
              <w:autoSpaceDE w:val="0"/>
              <w:autoSpaceDN w:val="0"/>
              <w:adjustRightInd w:val="0"/>
              <w:ind w:left="0"/>
              <w:jc w:val="center"/>
              <w:textAlignment w:val="baseline"/>
              <w:rPr>
                <w:rFonts w:ascii="Times New Roman" w:hAnsi="Times New Roman" w:eastAsia="Times New Roman" w:cs="Times New Roman"/>
                <w:b/>
                <w:kern w:val="0"/>
                <w:sz w:val="20"/>
                <w:szCs w:val="20"/>
                <w:lang w:val="en-GB" w:eastAsia="en-GB"/>
              </w:rPr>
            </w:pPr>
            <w:r>
              <w:rPr>
                <w:rFonts w:ascii="Times New Roman" w:hAnsi="Times New Roman" w:eastAsia="Times New Roman" w:cs="Times New Roman"/>
                <w:b/>
                <w:kern w:val="0"/>
                <w:position w:val="-10"/>
                <w:sz w:val="20"/>
                <w:szCs w:val="20"/>
              </w:rPr>
              <w:drawing>
                <wp:inline distT="0" distB="0" distL="0" distR="0">
                  <wp:extent cx="182880" cy="182880"/>
                  <wp:effectExtent l="0" t="0" r="7620" b="635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pPr>
              <w:keepNext/>
              <w:keepLines/>
              <w:overflowPunct w:val="0"/>
              <w:autoSpaceDE w:val="0"/>
              <w:autoSpaceDN w:val="0"/>
              <w:adjustRightInd w:val="0"/>
              <w:ind w:left="0"/>
              <w:jc w:val="center"/>
              <w:textAlignment w:val="baseline"/>
              <w:rPr>
                <w:rFonts w:ascii="Times New Roman" w:hAnsi="Times New Roman" w:eastAsia="Times New Roman" w:cs="Times New Roman"/>
                <w:b/>
                <w:kern w:val="0"/>
                <w:sz w:val="20"/>
                <w:szCs w:val="20"/>
                <w:lang w:val="en-GB" w:eastAsia="en-GB"/>
              </w:rPr>
            </w:pPr>
            <w:r>
              <w:rPr>
                <w:rFonts w:ascii="Times New Roman" w:hAnsi="Times New Roman" w:eastAsia="Times New Roman" w:cs="Times New Roman"/>
                <w:b/>
                <w:kern w:val="0"/>
                <w:sz w:val="20"/>
                <w:szCs w:val="20"/>
                <w:lang w:val="en-GB" w:eastAsia="en-GB"/>
              </w:rPr>
              <w:t xml:space="preserve">Maximum number of monitored PDCCH candidates per slot and per serving cell </w:t>
            </w:r>
            <w:r>
              <w:rPr>
                <w:rFonts w:ascii="Times New Roman" w:hAnsi="Times New Roman" w:eastAsia="Times New Roman" w:cs="Times New Roman"/>
                <w:b/>
                <w:kern w:val="0"/>
                <w:position w:val="-10"/>
                <w:sz w:val="20"/>
                <w:szCs w:val="20"/>
              </w:rPr>
              <w:drawing>
                <wp:inline distT="0" distB="0" distL="0" distR="0">
                  <wp:extent cx="556260" cy="251460"/>
                  <wp:effectExtent l="0" t="0" r="15240" b="15875"/>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pPr>
              <w:keepNext/>
              <w:keepLines/>
              <w:overflowPunct w:val="0"/>
              <w:autoSpaceDE w:val="0"/>
              <w:autoSpaceDN w:val="0"/>
              <w:adjustRightInd w:val="0"/>
              <w:ind w:left="0"/>
              <w:jc w:val="center"/>
              <w:textAlignment w:val="baseline"/>
              <w:rPr>
                <w:rFonts w:ascii="Times New Roman" w:hAnsi="Times New Roman" w:eastAsia="Times New Roman" w:cs="Times New Roman"/>
                <w:b/>
                <w:kern w:val="0"/>
                <w:sz w:val="20"/>
                <w:szCs w:val="20"/>
                <w:lang w:eastAsia="en-GB"/>
              </w:rPr>
            </w:pPr>
            <w:r>
              <w:rPr>
                <w:rFonts w:ascii="Times New Roman" w:hAnsi="Times New Roman" w:eastAsia="Times New Roman" w:cs="Times New Roman"/>
                <w:b/>
                <w:kern w:val="0"/>
                <w:sz w:val="20"/>
                <w:szCs w:val="20"/>
                <w:lang w:val="en-GB" w:eastAsia="en-GB"/>
              </w:rPr>
              <w:t xml:space="preserve">Maximum number of non-overlapped CCEs per slot and per serving cell </w:t>
            </w:r>
            <w:r>
              <w:rPr>
                <w:rFonts w:ascii="Times New Roman" w:hAnsi="Times New Roman" w:eastAsia="Times New Roman" w:cs="Times New Roman"/>
                <w:b/>
                <w:kern w:val="0"/>
                <w:position w:val="-10"/>
                <w:sz w:val="20"/>
                <w:szCs w:val="20"/>
              </w:rPr>
              <w:drawing>
                <wp:inline distT="0" distB="0" distL="0" distR="0">
                  <wp:extent cx="487680" cy="251460"/>
                  <wp:effectExtent l="0" t="0" r="7620" b="15875"/>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0</w:t>
            </w:r>
          </w:p>
        </w:tc>
        <w:tc>
          <w:tcPr>
            <w:tcW w:w="3163" w:type="dxa"/>
            <w:vAlign w:val="center"/>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44</w:t>
            </w:r>
          </w:p>
        </w:tc>
        <w:tc>
          <w:tcPr>
            <w:tcW w:w="2859" w:type="dxa"/>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1</w:t>
            </w:r>
          </w:p>
        </w:tc>
        <w:tc>
          <w:tcPr>
            <w:tcW w:w="3163" w:type="dxa"/>
            <w:vAlign w:val="center"/>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36</w:t>
            </w:r>
          </w:p>
        </w:tc>
        <w:tc>
          <w:tcPr>
            <w:tcW w:w="2859" w:type="dxa"/>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2</w:t>
            </w:r>
          </w:p>
        </w:tc>
        <w:tc>
          <w:tcPr>
            <w:tcW w:w="3163" w:type="dxa"/>
            <w:vAlign w:val="center"/>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22</w:t>
            </w:r>
          </w:p>
        </w:tc>
        <w:tc>
          <w:tcPr>
            <w:tcW w:w="2859" w:type="dxa"/>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3</w:t>
            </w:r>
          </w:p>
        </w:tc>
        <w:tc>
          <w:tcPr>
            <w:tcW w:w="3163" w:type="dxa"/>
            <w:vAlign w:val="center"/>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20</w:t>
            </w:r>
          </w:p>
        </w:tc>
        <w:tc>
          <w:tcPr>
            <w:tcW w:w="2859" w:type="dxa"/>
          </w:tcPr>
          <w:p>
            <w:pPr>
              <w:keepLines/>
              <w:spacing w:before="40" w:after="40"/>
              <w:ind w:left="0"/>
              <w:jc w:val="cente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5</w:t>
            </w:r>
          </w:p>
        </w:tc>
        <w:tc>
          <w:tcPr>
            <w:tcW w:w="3163" w:type="dxa"/>
            <w:vAlign w:val="center"/>
          </w:tcPr>
          <w:p>
            <w:pPr>
              <w:keepLines/>
              <w:spacing w:before="40" w:after="40"/>
              <w:ind w:left="0"/>
              <w:jc w:val="center"/>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[1</w:t>
            </w:r>
            <w:r>
              <w:rPr>
                <w:rFonts w:hint="default" w:ascii="Times New Roman" w:hAnsi="Times New Roman" w:cs="Times New Roman"/>
                <w:kern w:val="0"/>
                <w:sz w:val="20"/>
                <w:szCs w:val="20"/>
                <w:lang w:val="en-US" w:eastAsia="zh-CN"/>
              </w:rPr>
              <w:t>5</w:t>
            </w:r>
            <w:r>
              <w:rPr>
                <w:rFonts w:ascii="Times New Roman" w:hAnsi="Times New Roman" w:cs="Times New Roman"/>
                <w:kern w:val="0"/>
                <w:sz w:val="20"/>
                <w:szCs w:val="20"/>
                <w:lang w:val="en-GB" w:eastAsia="zh-CN"/>
              </w:rPr>
              <w:t>-</w:t>
            </w:r>
            <w:r>
              <w:rPr>
                <w:rFonts w:hint="default" w:ascii="Times New Roman" w:hAnsi="Times New Roman" w:cs="Times New Roman"/>
                <w:kern w:val="0"/>
                <w:sz w:val="20"/>
                <w:szCs w:val="20"/>
                <w:lang w:val="en-US" w:eastAsia="zh-CN"/>
              </w:rPr>
              <w:t>20</w:t>
            </w:r>
            <w:r>
              <w:rPr>
                <w:rFonts w:ascii="Times New Roman" w:hAnsi="Times New Roman" w:cs="Times New Roman"/>
                <w:kern w:val="0"/>
                <w:sz w:val="20"/>
                <w:szCs w:val="20"/>
                <w:lang w:val="en-GB" w:eastAsia="zh-CN"/>
              </w:rPr>
              <w:t>]</w:t>
            </w:r>
          </w:p>
        </w:tc>
        <w:tc>
          <w:tcPr>
            <w:tcW w:w="2859" w:type="dxa"/>
          </w:tcPr>
          <w:p>
            <w:pPr>
              <w:keepLines/>
              <w:spacing w:before="40" w:after="40"/>
              <w:ind w:left="0"/>
              <w:jc w:val="center"/>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w:t>
            </w:r>
            <w:r>
              <w:rPr>
                <w:rFonts w:hint="default" w:ascii="Times New Roman" w:hAnsi="Times New Roman" w:cs="Times New Roman"/>
                <w:kern w:val="0"/>
                <w:sz w:val="20"/>
                <w:szCs w:val="20"/>
                <w:lang w:val="en-US" w:eastAsia="zh-CN"/>
              </w:rPr>
              <w:t>24-32</w:t>
            </w:r>
            <w:r>
              <w:rPr>
                <w:rFonts w:ascii="Times New Roman" w:hAnsi="Times New Roman" w:cs="Times New Roman"/>
                <w:kern w:val="0"/>
                <w:sz w:val="20"/>
                <w:szCs w:val="20"/>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1" w:hRule="atLeast"/>
          <w:jc w:val="center"/>
        </w:trPr>
        <w:tc>
          <w:tcPr>
            <w:tcW w:w="636" w:type="dxa"/>
            <w:vAlign w:val="center"/>
          </w:tcPr>
          <w:p>
            <w:pPr>
              <w:keepLines/>
              <w:spacing w:before="40" w:after="40"/>
              <w:ind w:left="0"/>
              <w:jc w:val="center"/>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6</w:t>
            </w:r>
          </w:p>
        </w:tc>
        <w:tc>
          <w:tcPr>
            <w:tcW w:w="3163" w:type="dxa"/>
            <w:vAlign w:val="center"/>
          </w:tcPr>
          <w:p>
            <w:pPr>
              <w:keepLines/>
              <w:spacing w:before="40" w:after="40"/>
              <w:ind w:left="0"/>
              <w:jc w:val="center"/>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w:t>
            </w:r>
            <w:r>
              <w:rPr>
                <w:rFonts w:hint="default" w:ascii="Times New Roman" w:hAnsi="Times New Roman" w:cs="Times New Roman"/>
                <w:kern w:val="0"/>
                <w:sz w:val="20"/>
                <w:szCs w:val="20"/>
                <w:lang w:val="en-US" w:eastAsia="zh-CN"/>
              </w:rPr>
              <w:t>10-15</w:t>
            </w:r>
            <w:r>
              <w:rPr>
                <w:rFonts w:ascii="Times New Roman" w:hAnsi="Times New Roman" w:cs="Times New Roman"/>
                <w:kern w:val="0"/>
                <w:sz w:val="20"/>
                <w:szCs w:val="20"/>
                <w:lang w:val="en-GB" w:eastAsia="zh-CN"/>
              </w:rPr>
              <w:t>]</w:t>
            </w:r>
          </w:p>
        </w:tc>
        <w:tc>
          <w:tcPr>
            <w:tcW w:w="2859" w:type="dxa"/>
          </w:tcPr>
          <w:p>
            <w:pPr>
              <w:keepLines/>
              <w:spacing w:before="40" w:after="40"/>
              <w:ind w:left="0"/>
              <w:jc w:val="center"/>
              <w:rPr>
                <w:rFonts w:ascii="Times New Roman" w:hAnsi="Times New Roman" w:cs="Times New Roman"/>
                <w:kern w:val="0"/>
                <w:sz w:val="20"/>
                <w:szCs w:val="20"/>
                <w:lang w:val="en-GB" w:eastAsia="zh-CN"/>
              </w:rPr>
            </w:pPr>
            <w:r>
              <w:rPr>
                <w:rFonts w:ascii="Times New Roman" w:hAnsi="Times New Roman" w:cs="Times New Roman"/>
                <w:kern w:val="0"/>
                <w:sz w:val="20"/>
                <w:szCs w:val="20"/>
                <w:lang w:val="en-GB" w:eastAsia="zh-CN"/>
              </w:rPr>
              <w:t>[</w:t>
            </w:r>
            <w:r>
              <w:rPr>
                <w:rFonts w:hint="default" w:ascii="Times New Roman" w:hAnsi="Times New Roman" w:cs="Times New Roman"/>
                <w:kern w:val="0"/>
                <w:sz w:val="20"/>
                <w:szCs w:val="20"/>
                <w:lang w:val="en-US" w:eastAsia="zh-CN"/>
              </w:rPr>
              <w:t>16-24</w:t>
            </w:r>
            <w:r>
              <w:rPr>
                <w:rFonts w:ascii="Times New Roman" w:hAnsi="Times New Roman" w:cs="Times New Roman"/>
                <w:kern w:val="0"/>
                <w:sz w:val="20"/>
                <w:szCs w:val="20"/>
                <w:lang w:val="en-GB" w:eastAsia="zh-CN"/>
              </w:rPr>
              <w:t>]</w:t>
            </w:r>
          </w:p>
        </w:tc>
      </w:tr>
    </w:tbl>
    <w:p>
      <w:pPr>
        <w:numPr>
          <w:ilvl w:val="-1"/>
          <w:numId w:val="0"/>
        </w:numPr>
        <w:snapToGrid w:val="0"/>
        <w:spacing w:after="40" w:line="240" w:lineRule="auto"/>
        <w:ind w:left="0" w:firstLine="0"/>
        <w:jc w:val="both"/>
        <w:rPr>
          <w:rFonts w:hint="eastAsia" w:eastAsia="宋体"/>
          <w:b/>
          <w:bCs/>
          <w:lang w:val="en-US" w:eastAsia="zh-CN"/>
        </w:rPr>
      </w:pPr>
    </w:p>
    <w:p>
      <w:pPr>
        <w:numPr>
          <w:ilvl w:val="1"/>
          <w:numId w:val="0"/>
        </w:numPr>
        <w:snapToGrid w:val="0"/>
        <w:spacing w:after="240" w:line="260" w:lineRule="auto"/>
        <w:ind w:left="0" w:firstLine="0"/>
        <w:jc w:val="both"/>
        <w:rPr>
          <w:rFonts w:hint="eastAsia" w:eastAsia="宋体"/>
          <w:b/>
          <w:bCs/>
          <w:lang w:val="en-US" w:eastAsia="zh-CN"/>
        </w:rPr>
      </w:pPr>
      <w:r>
        <w:rPr>
          <w:rFonts w:hint="eastAsia" w:eastAsia="宋体"/>
          <w:b/>
          <w:bCs/>
          <w:lang w:val="en-US" w:eastAsia="zh-CN"/>
        </w:rPr>
        <w:t>Proposal 4: There is a strong need to consider BD/CCE budget for per slot PDCCH monitoring for SCS 480 kHz and 960 kHz, recommended value range are shown in Table 1.</w:t>
      </w:r>
    </w:p>
    <w:p>
      <w:pPr>
        <w:keepNext/>
        <w:keepLines/>
        <w:overflowPunct w:val="0"/>
        <w:autoSpaceDE w:val="0"/>
        <w:autoSpaceDN w:val="0"/>
        <w:adjustRightInd w:val="0"/>
        <w:spacing w:before="60" w:after="180"/>
        <w:ind w:left="0"/>
        <w:jc w:val="center"/>
        <w:textAlignment w:val="baseline"/>
        <w:rPr>
          <w:rFonts w:ascii="Times New Roman" w:hAnsi="Times New Roman" w:eastAsia="Times New Roman" w:cs="Times New Roman"/>
          <w:b/>
          <w:bCs w:val="0"/>
          <w:kern w:val="0"/>
          <w:sz w:val="20"/>
          <w:szCs w:val="20"/>
          <w:lang w:val="en-GB" w:eastAsia="en-GB"/>
        </w:rPr>
      </w:pPr>
      <w:r>
        <w:rPr>
          <w:rFonts w:ascii="Times New Roman" w:hAnsi="Times New Roman" w:eastAsia="Times New Roman" w:cs="Times New Roman"/>
          <w:b/>
          <w:bCs w:val="0"/>
          <w:kern w:val="0"/>
          <w:sz w:val="20"/>
          <w:szCs w:val="20"/>
          <w:lang w:val="en-GB" w:eastAsia="en-GB"/>
        </w:rPr>
        <w:t xml:space="preserve">Table 1: Maximum number </w:t>
      </w:r>
      <w:r>
        <w:rPr>
          <w:rFonts w:ascii="Times New Roman" w:hAnsi="Times New Roman" w:eastAsia="Times New Roman" w:cs="Times New Roman"/>
          <w:b/>
          <w:bCs w:val="0"/>
          <w:kern w:val="0"/>
          <w:position w:val="-10"/>
          <w:sz w:val="20"/>
          <w:szCs w:val="20"/>
        </w:rPr>
        <w:drawing>
          <wp:inline distT="0" distB="0" distL="0" distR="0">
            <wp:extent cx="556260" cy="236220"/>
            <wp:effectExtent l="0" t="0" r="15240" b="12700"/>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rPr>
          <w:rFonts w:ascii="Times New Roman" w:hAnsi="Times New Roman" w:eastAsia="Times New Roman" w:cs="Times New Roman"/>
          <w:b/>
          <w:bCs w:val="0"/>
          <w:kern w:val="0"/>
          <w:sz w:val="20"/>
          <w:szCs w:val="20"/>
          <w:lang w:val="en-GB" w:eastAsia="en-GB"/>
        </w:rPr>
        <w:t xml:space="preserve"> of monitored PDCCH candidates and non-overlapped CCEs per slot for a DL BWP with SCS configuration </w:t>
      </w:r>
      <w:r>
        <w:rPr>
          <w:rFonts w:ascii="Times New Roman" w:hAnsi="Times New Roman" w:cs="Times New Roman"/>
          <w:b/>
        </w:rPr>
        <w:t xml:space="preserve"> </w:t>
      </w:r>
      <w:r>
        <w:rPr>
          <w:rFonts w:ascii="Times New Roman" w:hAnsi="Times New Roman" w:cs="Times New Roman"/>
          <w:b/>
          <w:position w:val="-10"/>
        </w:rPr>
        <w:object>
          <v:shape id="_x0000_i1026" o:spt="75" type="#_x0000_t75" style="height:16pt;width:78.95pt;" o:ole="t" filled="f" o:preferrelative="t" stroked="f" coordsize="21600,21600">
            <v:path/>
            <v:fill on="f" focussize="0,0"/>
            <v:stroke on="f"/>
            <v:imagedata r:id="rId12" o:title=""/>
            <o:lock v:ext="edit" aspectratio="t"/>
            <w10:wrap type="none"/>
            <w10:anchorlock/>
          </v:shape>
          <o:OLEObject Type="Embed" ProgID="Equation.KSEE3" ShapeID="_x0000_i1026" DrawAspect="Content" ObjectID="_1468075726" r:id="rId15">
            <o:LockedField>false</o:LockedField>
          </o:OLEObject>
        </w:object>
      </w:r>
      <w:r>
        <w:rPr>
          <w:rFonts w:ascii="Times New Roman" w:hAnsi="Times New Roman" w:eastAsia="Times New Roman" w:cs="Times New Roman"/>
          <w:b/>
          <w:bCs w:val="0"/>
          <w:kern w:val="0"/>
          <w:sz w:val="20"/>
          <w:szCs w:val="20"/>
          <w:lang w:val="en-GB" w:eastAsia="en-GB"/>
        </w:rPr>
        <w:t xml:space="preserve"> for a single serving cell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36"/>
        <w:gridCol w:w="3163"/>
        <w:gridCol w:w="2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jc w:val="center"/>
        </w:trPr>
        <w:tc>
          <w:tcPr>
            <w:tcW w:w="636" w:type="dxa"/>
            <w:shd w:val="clear" w:color="auto" w:fill="E0E0E0"/>
            <w:vAlign w:val="center"/>
          </w:tcPr>
          <w:p>
            <w:pPr>
              <w:keepNext/>
              <w:keepLines/>
              <w:overflowPunct w:val="0"/>
              <w:autoSpaceDE w:val="0"/>
              <w:autoSpaceDN w:val="0"/>
              <w:adjustRightInd w:val="0"/>
              <w:ind w:left="0"/>
              <w:jc w:val="center"/>
              <w:textAlignment w:val="baseline"/>
              <w:rPr>
                <w:rFonts w:ascii="Times New Roman" w:hAnsi="Times New Roman" w:eastAsia="Times New Roman" w:cs="Times New Roman"/>
                <w:b/>
                <w:kern w:val="0"/>
                <w:sz w:val="20"/>
                <w:szCs w:val="20"/>
                <w:lang w:val="en-GB" w:eastAsia="en-GB"/>
              </w:rPr>
            </w:pPr>
            <w:r>
              <w:rPr>
                <w:rFonts w:ascii="Times New Roman" w:hAnsi="Times New Roman" w:eastAsia="Times New Roman" w:cs="Times New Roman"/>
                <w:b/>
                <w:kern w:val="0"/>
                <w:position w:val="-10"/>
                <w:sz w:val="20"/>
                <w:szCs w:val="20"/>
              </w:rPr>
              <w:drawing>
                <wp:inline distT="0" distB="0" distL="0" distR="0">
                  <wp:extent cx="182880" cy="182880"/>
                  <wp:effectExtent l="0" t="0" r="7620" b="635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pPr>
              <w:keepNext/>
              <w:keepLines/>
              <w:overflowPunct w:val="0"/>
              <w:autoSpaceDE w:val="0"/>
              <w:autoSpaceDN w:val="0"/>
              <w:adjustRightInd w:val="0"/>
              <w:ind w:left="0"/>
              <w:jc w:val="center"/>
              <w:textAlignment w:val="baseline"/>
              <w:rPr>
                <w:rFonts w:ascii="Times New Roman" w:hAnsi="Times New Roman" w:eastAsia="Times New Roman" w:cs="Times New Roman"/>
                <w:b/>
                <w:kern w:val="0"/>
                <w:sz w:val="20"/>
                <w:szCs w:val="20"/>
                <w:lang w:val="en-GB" w:eastAsia="en-GB"/>
              </w:rPr>
            </w:pPr>
            <w:r>
              <w:rPr>
                <w:rFonts w:ascii="Times New Roman" w:hAnsi="Times New Roman" w:eastAsia="Times New Roman" w:cs="Times New Roman"/>
                <w:b/>
                <w:kern w:val="0"/>
                <w:sz w:val="20"/>
                <w:szCs w:val="20"/>
                <w:lang w:val="en-GB" w:eastAsia="en-GB"/>
              </w:rPr>
              <w:t xml:space="preserve">Maximum number of monitored PDCCH candidates per slot and per serving cell </w:t>
            </w:r>
            <w:r>
              <w:rPr>
                <w:rFonts w:ascii="Times New Roman" w:hAnsi="Times New Roman" w:eastAsia="Times New Roman" w:cs="Times New Roman"/>
                <w:b/>
                <w:kern w:val="0"/>
                <w:position w:val="-10"/>
                <w:sz w:val="20"/>
                <w:szCs w:val="20"/>
              </w:rPr>
              <w:drawing>
                <wp:inline distT="0" distB="0" distL="0" distR="0">
                  <wp:extent cx="556260" cy="251460"/>
                  <wp:effectExtent l="0" t="0" r="0" b="15875"/>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pPr>
              <w:keepNext/>
              <w:keepLines/>
              <w:overflowPunct w:val="0"/>
              <w:autoSpaceDE w:val="0"/>
              <w:autoSpaceDN w:val="0"/>
              <w:adjustRightInd w:val="0"/>
              <w:ind w:left="0"/>
              <w:jc w:val="center"/>
              <w:textAlignment w:val="baseline"/>
              <w:rPr>
                <w:rFonts w:ascii="Times New Roman" w:hAnsi="Times New Roman" w:eastAsia="Times New Roman" w:cs="Times New Roman"/>
                <w:b/>
                <w:kern w:val="0"/>
                <w:sz w:val="20"/>
                <w:szCs w:val="20"/>
                <w:lang w:eastAsia="en-GB"/>
              </w:rPr>
            </w:pPr>
            <w:r>
              <w:rPr>
                <w:rFonts w:ascii="Times New Roman" w:hAnsi="Times New Roman" w:eastAsia="Times New Roman" w:cs="Times New Roman"/>
                <w:b/>
                <w:kern w:val="0"/>
                <w:sz w:val="20"/>
                <w:szCs w:val="20"/>
                <w:lang w:val="en-GB" w:eastAsia="en-GB"/>
              </w:rPr>
              <w:t xml:space="preserve">Maximum number of non-overlapped CCEs per slot and per serving cell </w:t>
            </w:r>
            <w:r>
              <w:rPr>
                <w:rFonts w:ascii="Times New Roman" w:hAnsi="Times New Roman" w:eastAsia="Times New Roman" w:cs="Times New Roman"/>
                <w:b/>
                <w:kern w:val="0"/>
                <w:position w:val="-10"/>
                <w:sz w:val="20"/>
                <w:szCs w:val="20"/>
              </w:rPr>
              <w:drawing>
                <wp:inline distT="0" distB="0" distL="0" distR="0">
                  <wp:extent cx="487680" cy="251460"/>
                  <wp:effectExtent l="0" t="0" r="7620" b="15875"/>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0</w:t>
            </w:r>
          </w:p>
        </w:tc>
        <w:tc>
          <w:tcPr>
            <w:tcW w:w="3163"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44</w:t>
            </w:r>
          </w:p>
        </w:tc>
        <w:tc>
          <w:tcPr>
            <w:tcW w:w="2859" w:type="dxa"/>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1</w:t>
            </w:r>
          </w:p>
        </w:tc>
        <w:tc>
          <w:tcPr>
            <w:tcW w:w="3163"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36</w:t>
            </w:r>
          </w:p>
        </w:tc>
        <w:tc>
          <w:tcPr>
            <w:tcW w:w="2859" w:type="dxa"/>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2</w:t>
            </w:r>
          </w:p>
        </w:tc>
        <w:tc>
          <w:tcPr>
            <w:tcW w:w="3163"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22</w:t>
            </w:r>
          </w:p>
        </w:tc>
        <w:tc>
          <w:tcPr>
            <w:tcW w:w="2859" w:type="dxa"/>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3</w:t>
            </w:r>
          </w:p>
        </w:tc>
        <w:tc>
          <w:tcPr>
            <w:tcW w:w="3163"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20</w:t>
            </w:r>
          </w:p>
        </w:tc>
        <w:tc>
          <w:tcPr>
            <w:tcW w:w="2859" w:type="dxa"/>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5</w:t>
            </w:r>
          </w:p>
        </w:tc>
        <w:tc>
          <w:tcPr>
            <w:tcW w:w="3163" w:type="dxa"/>
            <w:vAlign w:val="center"/>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[1</w:t>
            </w:r>
            <w:r>
              <w:rPr>
                <w:rFonts w:hint="default" w:ascii="Times New Roman" w:hAnsi="Times New Roman" w:cs="Times New Roman"/>
                <w:b/>
                <w:kern w:val="0"/>
                <w:sz w:val="20"/>
                <w:szCs w:val="20"/>
                <w:lang w:val="en-US" w:eastAsia="zh-CN"/>
              </w:rPr>
              <w:t>5</w:t>
            </w:r>
            <w:r>
              <w:rPr>
                <w:rFonts w:ascii="Times New Roman" w:hAnsi="Times New Roman" w:cs="Times New Roman"/>
                <w:b/>
                <w:kern w:val="0"/>
                <w:sz w:val="20"/>
                <w:szCs w:val="20"/>
                <w:lang w:val="en-GB" w:eastAsia="zh-CN"/>
              </w:rPr>
              <w:t>-</w:t>
            </w:r>
            <w:r>
              <w:rPr>
                <w:rFonts w:hint="default" w:ascii="Times New Roman" w:hAnsi="Times New Roman" w:cs="Times New Roman"/>
                <w:b/>
                <w:kern w:val="0"/>
                <w:sz w:val="20"/>
                <w:szCs w:val="20"/>
                <w:lang w:val="en-US" w:eastAsia="zh-CN"/>
              </w:rPr>
              <w:t>20</w:t>
            </w:r>
            <w:r>
              <w:rPr>
                <w:rFonts w:ascii="Times New Roman" w:hAnsi="Times New Roman" w:cs="Times New Roman"/>
                <w:b/>
                <w:kern w:val="0"/>
                <w:sz w:val="20"/>
                <w:szCs w:val="20"/>
                <w:lang w:val="en-GB" w:eastAsia="zh-CN"/>
              </w:rPr>
              <w:t>]</w:t>
            </w:r>
          </w:p>
        </w:tc>
        <w:tc>
          <w:tcPr>
            <w:tcW w:w="2859" w:type="dxa"/>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w:t>
            </w:r>
            <w:r>
              <w:rPr>
                <w:rFonts w:hint="default" w:ascii="Times New Roman" w:hAnsi="Times New Roman" w:cs="Times New Roman"/>
                <w:b/>
                <w:kern w:val="0"/>
                <w:sz w:val="20"/>
                <w:szCs w:val="20"/>
                <w:lang w:val="en-US" w:eastAsia="zh-CN"/>
              </w:rPr>
              <w:t>24-32</w:t>
            </w:r>
            <w:r>
              <w:rPr>
                <w:rFonts w:ascii="Times New Roman" w:hAnsi="Times New Roman" w:cs="Times New Roman"/>
                <w:b/>
                <w:kern w:val="0"/>
                <w:sz w:val="20"/>
                <w:szCs w:val="20"/>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1" w:hRule="atLeast"/>
          <w:jc w:val="center"/>
        </w:trPr>
        <w:tc>
          <w:tcPr>
            <w:tcW w:w="636" w:type="dxa"/>
            <w:vAlign w:val="center"/>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6</w:t>
            </w:r>
          </w:p>
        </w:tc>
        <w:tc>
          <w:tcPr>
            <w:tcW w:w="3163" w:type="dxa"/>
            <w:vAlign w:val="center"/>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w:t>
            </w:r>
            <w:r>
              <w:rPr>
                <w:rFonts w:hint="default" w:ascii="Times New Roman" w:hAnsi="Times New Roman" w:cs="Times New Roman"/>
                <w:b/>
                <w:kern w:val="0"/>
                <w:sz w:val="20"/>
                <w:szCs w:val="20"/>
                <w:lang w:val="en-US" w:eastAsia="zh-CN"/>
              </w:rPr>
              <w:t>10-15</w:t>
            </w:r>
            <w:r>
              <w:rPr>
                <w:rFonts w:ascii="Times New Roman" w:hAnsi="Times New Roman" w:cs="Times New Roman"/>
                <w:b/>
                <w:kern w:val="0"/>
                <w:sz w:val="20"/>
                <w:szCs w:val="20"/>
                <w:lang w:val="en-GB" w:eastAsia="zh-CN"/>
              </w:rPr>
              <w:t>]</w:t>
            </w:r>
          </w:p>
        </w:tc>
        <w:tc>
          <w:tcPr>
            <w:tcW w:w="2859" w:type="dxa"/>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w:t>
            </w:r>
            <w:r>
              <w:rPr>
                <w:rFonts w:hint="default" w:ascii="Times New Roman" w:hAnsi="Times New Roman" w:cs="Times New Roman"/>
                <w:b/>
                <w:kern w:val="0"/>
                <w:sz w:val="20"/>
                <w:szCs w:val="20"/>
                <w:lang w:val="en-US" w:eastAsia="zh-CN"/>
              </w:rPr>
              <w:t>16-24</w:t>
            </w:r>
            <w:r>
              <w:rPr>
                <w:rFonts w:ascii="Times New Roman" w:hAnsi="Times New Roman" w:cs="Times New Roman"/>
                <w:b/>
                <w:kern w:val="0"/>
                <w:sz w:val="20"/>
                <w:szCs w:val="20"/>
                <w:lang w:val="en-GB" w:eastAsia="zh-CN"/>
              </w:rPr>
              <w:t>]</w:t>
            </w:r>
          </w:p>
        </w:tc>
      </w:tr>
    </w:tbl>
    <w:p>
      <w:pPr>
        <w:numPr>
          <w:ilvl w:val="1"/>
          <w:numId w:val="0"/>
        </w:numPr>
        <w:snapToGrid w:val="0"/>
        <w:spacing w:after="240" w:line="260" w:lineRule="auto"/>
        <w:ind w:left="0" w:firstLine="0"/>
        <w:jc w:val="both"/>
        <w:rPr>
          <w:rFonts w:hint="eastAsia" w:eastAsia="宋体"/>
          <w:b/>
          <w:bCs/>
          <w:lang w:val="en-US" w:eastAsia="zh-CN"/>
        </w:rPr>
      </w:pPr>
    </w:p>
    <w:p>
      <w:pPr>
        <w:pStyle w:val="3"/>
        <w:numPr>
          <w:ilvl w:val="1"/>
          <w:numId w:val="0"/>
        </w:numPr>
        <w:snapToGrid w:val="0"/>
        <w:spacing w:after="240" w:line="260" w:lineRule="auto"/>
        <w:rPr>
          <w:rFonts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3</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Search space set configuration</w:t>
      </w:r>
    </w:p>
    <w:p>
      <w:pPr>
        <w:jc w:val="both"/>
        <w:rPr>
          <w:rFonts w:hint="eastAsia" w:eastAsia="宋体"/>
          <w:bCs/>
          <w:lang w:val="en-US" w:eastAsia="zh-CN"/>
        </w:rPr>
      </w:pPr>
      <w:r>
        <w:rPr>
          <w:rFonts w:hint="eastAsia" w:eastAsia="宋体"/>
          <w:bCs/>
          <w:lang w:val="en-US" w:eastAsia="zh-CN"/>
        </w:rPr>
        <w:t xml:space="preserve">If a fixed pattern of slot groups to define the new capability for PDCCH monitoring is adopted, when configuring the search space set by higher layer parameter </w:t>
      </w:r>
      <w:r>
        <w:rPr>
          <w:rFonts w:hint="eastAsia" w:eastAsia="宋体"/>
          <w:bCs/>
          <w:i/>
          <w:iCs/>
          <w:lang w:val="en-US" w:eastAsia="zh-CN"/>
        </w:rPr>
        <w:t>monitoringSlotPeriodicityAndOffset</w:t>
      </w:r>
      <w:r>
        <w:rPr>
          <w:rFonts w:hint="eastAsia" w:eastAsia="宋体"/>
          <w:bCs/>
          <w:lang w:val="en-US"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hint="eastAsia" w:hAnsi="Cambria Math" w:eastAsia="宋体"/>
          <w:lang w:val="en-US" w:eastAsia="zh-CN"/>
        </w:rPr>
        <w:t>,</w:t>
      </w:r>
      <w:r>
        <w:t xml:space="preserve"> </w:t>
      </w:r>
      <w:r>
        <w:rPr>
          <w:rFonts w:hint="eastAsia" w:eastAsia="宋体"/>
          <w:bCs/>
          <w:lang w:val="en-US" w:eastAsia="zh-CN"/>
        </w:rPr>
        <w:t xml:space="preserve">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is a</w:t>
      </w:r>
      <w:r>
        <w:rPr>
          <w:rFonts w:eastAsia="宋体"/>
          <w:bCs/>
          <w:lang w:val="en-US" w:eastAsia="zh-CN"/>
        </w:rPr>
        <w:t>n</w:t>
      </w:r>
      <w:r>
        <w:rPr>
          <w:rFonts w:hint="eastAsia" w:eastAsia="宋体"/>
          <w:bCs/>
          <w:lang w:val="en-US" w:eastAsia="zh-CN"/>
        </w:rPr>
        <w:t xml:space="preserve"> integral multiple of X slots (X slots consists a slot group), or is a</w:t>
      </w:r>
      <w:r>
        <w:rPr>
          <w:rFonts w:eastAsia="宋体"/>
          <w:bCs/>
          <w:lang w:val="en-US" w:eastAsia="zh-CN"/>
        </w:rPr>
        <w:t>n</w:t>
      </w:r>
      <w:r>
        <w:rPr>
          <w:rFonts w:hint="eastAsia" w:eastAsia="宋体"/>
          <w:bCs/>
          <w:lang w:val="en-US" w:eastAsia="zh-CN"/>
        </w:rPr>
        <w:t xml:space="preserve"> integral multiple of slot groups, i.e.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hint="eastAsia" w:hAnsi="Cambria Math" w:eastAsia="宋体"/>
          <w:lang w:val="en-US" w:eastAsia="zh-CN"/>
        </w:rPr>
        <w:t xml:space="preserve"> </w:t>
      </w:r>
      <w:r>
        <w:rPr>
          <w:rFonts w:hint="eastAsia" w:eastAsia="宋体"/>
          <w:bCs/>
          <w:lang w:val="en-US" w:eastAsia="zh-CN"/>
        </w:rPr>
        <w:t xml:space="preserve">and </w:t>
      </w:r>
      <w:r>
        <w:rPr>
          <w:rFonts w:hint="eastAsia" w:eastAsia="宋体"/>
          <w:bCs/>
          <w:i/>
          <w:iCs/>
          <w:lang w:val="en-US" w:eastAsia="zh-CN"/>
        </w:rPr>
        <w:t>T</w:t>
      </w:r>
      <w:r>
        <w:rPr>
          <w:rFonts w:hint="eastAsia" w:eastAsia="宋体"/>
          <w:bCs/>
          <w:i/>
          <w:iCs/>
          <w:vertAlign w:val="subscript"/>
          <w:lang w:val="en-US" w:eastAsia="zh-CN"/>
        </w:rPr>
        <w:t xml:space="preserve">S </w:t>
      </w:r>
      <w:r>
        <w:rPr>
          <w:rFonts w:hint="eastAsia"/>
          <w:lang w:val="en-US" w:eastAsia="zh-CN"/>
        </w:rPr>
        <w:t>are i</w:t>
      </w:r>
      <w:r>
        <w:rPr>
          <w:rFonts w:hint="eastAsia" w:eastAsia="宋体"/>
          <w:bCs/>
          <w:lang w:val="en-US" w:eastAsia="zh-CN"/>
        </w:rPr>
        <w:t xml:space="preserve">n the units of slot group. For example, if a slot group includes four slots (X=4), 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can be configured as 4, 8, 12, 16, ... of slots. Alternatively, 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can be configured as 1, 2, 3, 4, ... of slot groups, i.e. the basic granularity of 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should be defined as a slot group. Figure 3 gives one configuration type in a slot group, e.g., PDCCH MO is configured in the first slot within the slot group.</w:t>
      </w:r>
    </w:p>
    <w:p>
      <w:pPr>
        <w:jc w:val="both"/>
        <w:rPr>
          <w:rFonts w:hint="default" w:eastAsia="宋体"/>
          <w:bCs/>
          <w:lang w:val="en-US" w:eastAsia="zh-CN"/>
        </w:rPr>
      </w:pPr>
      <w:r>
        <w:rPr>
          <w:rFonts w:hint="eastAsia" w:eastAsia="宋体"/>
          <w:bCs/>
          <w:lang w:val="en-US" w:eastAsia="zh-CN"/>
        </w:rPr>
        <w:t>Besides, t</w:t>
      </w:r>
      <w:r>
        <w:rPr>
          <w:rFonts w:hint="eastAsia"/>
          <w:lang w:val="en-US" w:eastAsia="zh-CN"/>
        </w:rPr>
        <w:t xml:space="preserve">he location of </w:t>
      </w:r>
      <w:r>
        <w:rPr>
          <w:rFonts w:hint="eastAsia"/>
          <w:i w:val="0"/>
          <w:iCs w:val="0"/>
          <w:lang w:val="en-US" w:eastAsia="zh-CN"/>
        </w:rPr>
        <w:t>Type0-PDCCH CSS set</w:t>
      </w:r>
      <w:r>
        <w:rPr>
          <w:rFonts w:hint="default"/>
          <w:i w:val="0"/>
          <w:iCs w:val="0"/>
          <w:lang w:val="en-US" w:eastAsia="zh-CN"/>
        </w:rPr>
        <w:t>’</w:t>
      </w:r>
      <w:r>
        <w:rPr>
          <w:rFonts w:hint="eastAsia"/>
          <w:i w:val="0"/>
          <w:iCs w:val="0"/>
          <w:lang w:val="en-US" w:eastAsia="zh-CN"/>
        </w:rPr>
        <w:t>s</w:t>
      </w:r>
      <w:r>
        <w:rPr>
          <w:rFonts w:hint="eastAsia"/>
          <w:lang w:val="en-US" w:eastAsia="zh-CN"/>
        </w:rPr>
        <w:t xml:space="preserve"> monitoring slots relies on the SS/PBCH block of the UE. </w:t>
      </w:r>
      <w:r>
        <w:rPr>
          <w:rFonts w:hint="eastAsia" w:eastAsia="宋体"/>
          <w:lang w:val="en-US" w:eastAsia="zh-CN"/>
        </w:rPr>
        <w:t>If t</w:t>
      </w:r>
      <w:r>
        <w:rPr>
          <w:rFonts w:hint="default" w:eastAsia="宋体"/>
          <w:lang w:val="en-US" w:eastAsia="zh-CN"/>
        </w:rPr>
        <w:t>he location of Y consecutive slots within X slots is based on a time offset within the slot group based on slot index n0 determined for Group (2)</w:t>
      </w:r>
      <w:r>
        <w:rPr>
          <w:rFonts w:hint="eastAsia" w:eastAsia="宋体"/>
          <w:lang w:val="en-US" w:eastAsia="zh-CN"/>
        </w:rPr>
        <w:t xml:space="preserve"> SS</w:t>
      </w:r>
      <w:r>
        <w:rPr>
          <w:rFonts w:hint="default" w:eastAsia="宋体"/>
          <w:lang w:val="en-US" w:eastAsia="zh-CN"/>
        </w:rPr>
        <w:t xml:space="preserve"> monitoring</w:t>
      </w:r>
      <w:r>
        <w:rPr>
          <w:rFonts w:hint="eastAsia" w:eastAsia="宋体"/>
          <w:lang w:val="en-US" w:eastAsia="zh-CN"/>
        </w:rPr>
        <w:t>, a new slot level bitmap needs to be introduced to indicate which slots have monitoring occasions for SCS 480/960 kHz.</w:t>
      </w:r>
    </w:p>
    <w:p>
      <w:pPr>
        <w:jc w:val="both"/>
      </w:pPr>
      <w:r>
        <w:rPr>
          <w:lang w:val="en-US" w:eastAsia="zh-CN"/>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6"/>
                    <a:stretch>
                      <a:fillRect/>
                    </a:stretch>
                  </pic:blipFill>
                  <pic:spPr>
                    <a:xfrm>
                      <a:off x="0" y="0"/>
                      <a:ext cx="5963285" cy="978535"/>
                    </a:xfrm>
                    <a:prstGeom prst="rect">
                      <a:avLst/>
                    </a:prstGeom>
                    <a:noFill/>
                    <a:ln>
                      <a:noFill/>
                    </a:ln>
                  </pic:spPr>
                </pic:pic>
              </a:graphicData>
            </a:graphic>
          </wp:inline>
        </w:drawing>
      </w:r>
    </w:p>
    <w:p>
      <w:pPr>
        <w:jc w:val="center"/>
        <w:rPr>
          <w:b/>
          <w:bCs/>
          <w:lang w:val="en-US" w:eastAsia="zh-CN"/>
        </w:rPr>
      </w:pPr>
      <w:r>
        <w:rPr>
          <w:rFonts w:hint="eastAsia" w:eastAsia="宋体"/>
          <w:b/>
          <w:bCs/>
          <w:lang w:val="en-US" w:eastAsia="zh-CN"/>
        </w:rPr>
        <w:t>Figure 3: Configurations if a fixed pattern of slot groups is supported</w:t>
      </w:r>
    </w:p>
    <w:p>
      <w:pPr>
        <w:jc w:val="both"/>
        <w:rPr>
          <w:rFonts w:eastAsia="宋体"/>
          <w:bCs/>
          <w:lang w:val="en-US" w:eastAsia="zh-CN"/>
        </w:rPr>
      </w:pPr>
      <w:r>
        <w:rPr>
          <w:rFonts w:hint="eastAsia" w:eastAsia="宋体"/>
          <w:bCs/>
          <w:lang w:val="en-US"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pPr>
        <w:spacing w:after="0" w:line="240" w:lineRule="auto"/>
        <w:jc w:val="both"/>
        <w:rPr>
          <w:rFonts w:hint="eastAsia" w:eastAsia="宋体"/>
          <w:b/>
          <w:lang w:val="en-US" w:eastAsia="zh-CN"/>
        </w:rPr>
      </w:pPr>
      <w:r>
        <w:rPr>
          <w:rFonts w:hint="eastAsia" w:eastAsia="宋体"/>
          <w:b/>
          <w:lang w:val="en-US" w:eastAsia="zh-CN"/>
        </w:rPr>
        <w:t xml:space="preserve">Proposal 5: </w:t>
      </w:r>
      <w:r>
        <w:rPr>
          <w:rFonts w:hint="eastAsia" w:eastAsia="宋体"/>
          <w:b/>
          <w:bCs/>
          <w:lang w:val="en-US" w:eastAsia="zh-CN"/>
        </w:rPr>
        <w:t>If m</w:t>
      </w:r>
      <w:r>
        <w:rPr>
          <w:b/>
          <w:bCs/>
        </w:rPr>
        <w:t>ulti-slot PDCCH monitoring</w:t>
      </w:r>
      <w:r>
        <w:rPr>
          <w:rFonts w:hint="eastAsia" w:eastAsia="宋体"/>
          <w:b/>
          <w:bCs/>
          <w:lang w:val="en-US" w:eastAsia="zh-CN"/>
        </w:rPr>
        <w:t xml:space="preserve"> </w:t>
      </w:r>
      <w:r>
        <w:rPr>
          <w:b/>
          <w:bCs/>
        </w:rPr>
        <w:t>based on slots within a slot group</w:t>
      </w:r>
      <w:r>
        <w:rPr>
          <w:rFonts w:hint="eastAsia" w:eastAsia="宋体"/>
          <w:b/>
          <w:bCs/>
          <w:lang w:val="en-US" w:eastAsia="zh-CN"/>
        </w:rPr>
        <w:t xml:space="preserve"> is supported</w:t>
      </w:r>
      <w:r>
        <w:rPr>
          <w:rFonts w:hint="eastAsia" w:eastAsia="宋体"/>
          <w:b/>
          <w:lang w:val="en-US"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ctrlPr>
              <w:rPr>
                <w:rFonts w:ascii="Cambria Math" w:hAnsi="Cambria Math"/>
                <w:b/>
                <w:i/>
              </w:rPr>
            </m:ctrlPr>
          </m:e>
          <m:sub>
            <m:r>
              <m:rPr>
                <m:sty m:val="bi"/>
              </m:rPr>
              <w:rPr>
                <w:rFonts w:ascii="Cambria Math" w:hAnsi="Cambria Math"/>
              </w:rPr>
              <m:t>s</m:t>
            </m:r>
            <m:ctrlPr>
              <w:rPr>
                <w:rFonts w:ascii="Cambria Math" w:hAnsi="Cambria Math"/>
                <w:b/>
                <w:i/>
              </w:rPr>
            </m:ctrlPr>
          </m:sub>
        </m:sSub>
      </m:oMath>
      <w:r>
        <w:rPr>
          <w:b/>
        </w:rPr>
        <w:t xml:space="preserve"> </w:t>
      </w:r>
      <w:r>
        <w:rPr>
          <w:rFonts w:hint="eastAsia" w:eastAsia="宋体"/>
          <w:b/>
          <w:lang w:val="en-US" w:eastAsia="zh-CN"/>
        </w:rPr>
        <w:t xml:space="preserve">and the duration </w:t>
      </w:r>
      <w:r>
        <w:rPr>
          <w:rFonts w:hint="eastAsia" w:eastAsia="宋体"/>
          <w:b/>
          <w:i/>
          <w:iCs/>
          <w:lang w:val="en-US" w:eastAsia="zh-CN"/>
        </w:rPr>
        <w:t>T</w:t>
      </w:r>
      <w:r>
        <w:rPr>
          <w:rFonts w:hint="eastAsia" w:eastAsia="宋体"/>
          <w:b/>
          <w:i/>
          <w:iCs/>
          <w:vertAlign w:val="subscript"/>
          <w:lang w:val="en-US" w:eastAsia="zh-CN"/>
        </w:rPr>
        <w:t>S</w:t>
      </w:r>
      <w:r>
        <w:rPr>
          <w:rFonts w:hint="eastAsia"/>
          <w:b/>
          <w:lang w:val="en-US" w:eastAsia="zh-CN"/>
        </w:rPr>
        <w:t xml:space="preserve"> of the </w:t>
      </w:r>
      <w:r>
        <w:rPr>
          <w:rFonts w:hint="eastAsia" w:eastAsia="宋体"/>
          <w:b/>
          <w:lang w:val="en-US" w:eastAsia="zh-CN"/>
        </w:rPr>
        <w:t xml:space="preserve">search space sets </w:t>
      </w:r>
      <w:r>
        <w:rPr>
          <w:rFonts w:hint="eastAsia"/>
          <w:b/>
          <w:lang w:val="en-US" w:eastAsia="zh-CN"/>
        </w:rPr>
        <w:t xml:space="preserve">should be configured as an integral multiple of a slot group. </w:t>
      </w:r>
      <w:r>
        <w:rPr>
          <w:rFonts w:hint="eastAsia"/>
          <w:b/>
          <w:bCs w:val="0"/>
          <w:lang w:val="en-US" w:eastAsia="zh-CN"/>
        </w:rPr>
        <w:t>Also, a</w:t>
      </w:r>
      <w:r>
        <w:rPr>
          <w:rFonts w:hint="eastAsia" w:eastAsia="宋体"/>
          <w:b/>
          <w:bCs w:val="0"/>
          <w:lang w:val="en-US" w:eastAsia="zh-CN"/>
        </w:rPr>
        <w:t xml:space="preserve"> new slot level bitmap needs to be introduced to indicate which slots have monitoring occasions.</w:t>
      </w:r>
      <w:r>
        <w:rPr>
          <w:rFonts w:hint="eastAsia"/>
          <w:b/>
          <w:bCs w:val="0"/>
          <w:lang w:val="en-US" w:eastAsia="zh-CN"/>
        </w:rPr>
        <w:t xml:space="preserve"> </w:t>
      </w:r>
    </w:p>
    <w:p>
      <w:pPr>
        <w:pStyle w:val="3"/>
        <w:numPr>
          <w:ilvl w:val="1"/>
          <w:numId w:val="0"/>
        </w:numPr>
        <w:snapToGrid w:val="0"/>
        <w:spacing w:after="240" w:line="260" w:lineRule="auto"/>
        <w:rPr>
          <w:rFonts w:ascii="Times New Roman" w:hAnsi="Times New Roman" w:eastAsia="宋体"/>
          <w:b/>
          <w:bCs w:val="0"/>
          <w:lang w:val="en-US" w:eastAsia="zh-CN"/>
        </w:rPr>
      </w:pPr>
      <w:r>
        <w:rPr>
          <w:rFonts w:hint="eastAsia" w:ascii="Times New Roman" w:hAnsi="Times New Roman" w:eastAsia="宋体"/>
          <w:b/>
          <w:bCs w:val="0"/>
          <w:lang w:val="en-US" w:eastAsia="zh-CN"/>
        </w:rPr>
        <w:t>2.4  Search space set group switching</w:t>
      </w:r>
    </w:p>
    <w:p>
      <w:pPr>
        <w:jc w:val="both"/>
        <w:rPr>
          <w:lang w:eastAsia="zh-CN"/>
        </w:rPr>
      </w:pPr>
      <w:r>
        <w:rPr>
          <w:lang w:eastAsia="zh-CN"/>
        </w:rPr>
        <w:t>Search Space Set Group</w:t>
      </w:r>
      <w:r>
        <w:rPr>
          <w:rFonts w:hint="eastAsia"/>
          <w:lang w:val="en-US" w:eastAsia="zh-CN"/>
        </w:rPr>
        <w:t xml:space="preserve"> (SSSG)</w:t>
      </w:r>
      <w:r>
        <w:rPr>
          <w:lang w:eastAsia="zh-CN"/>
        </w:rPr>
        <w:t xml:space="preserve"> Switching was introduced in Rel-16 NR-U.</w:t>
      </w:r>
      <w:r>
        <w:rPr>
          <w:rFonts w:hint="eastAsia"/>
          <w:lang w:val="en-US" w:eastAsia="zh-CN"/>
        </w:rPr>
        <w:t xml:space="preserve"> In order to reduce access delay and save power, the SSSG monitoring periodicity/granularity is increased or decreased according to the channel access procedure. UE has to </w:t>
      </w:r>
      <w:r>
        <w:rPr>
          <w:rFonts w:hint="eastAsia"/>
          <w:lang w:eastAsia="zh-CN"/>
        </w:rPr>
        <w:t xml:space="preserve">support </w:t>
      </w:r>
      <w:r>
        <w:rPr>
          <w:lang w:eastAsia="zh-CN"/>
        </w:rPr>
        <w:t>frequen</w:t>
      </w:r>
      <w:r>
        <w:rPr>
          <w:rFonts w:hint="eastAsia"/>
          <w:lang w:val="en-US" w:eastAsia="zh-CN"/>
        </w:rPr>
        <w:t>t</w:t>
      </w:r>
      <w:r>
        <w:rPr>
          <w:rFonts w:hint="eastAsia"/>
          <w:lang w:eastAsia="zh-CN"/>
        </w:rPr>
        <w:t xml:space="preserve"> PDCCH monitoring outside gNB-COT and infrequent PDCCH monitoring inside COT</w:t>
      </w:r>
      <w:r>
        <w:rPr>
          <w:rFonts w:hint="eastAsia"/>
          <w:lang w:val="en-US" w:eastAsia="zh-CN"/>
        </w:rPr>
        <w:t xml:space="preserve">. </w:t>
      </w:r>
      <w:r>
        <w:rPr>
          <w:rFonts w:hint="eastAsia"/>
          <w:lang w:eastAsia="zh-CN"/>
        </w:rPr>
        <w:t xml:space="preserve">The existing </w:t>
      </w:r>
      <w:r>
        <w:rPr>
          <w:lang w:eastAsia="zh-CN"/>
        </w:rPr>
        <w:t>SSSG switching</w:t>
      </w:r>
      <w:r>
        <w:rPr>
          <w:rFonts w:hint="eastAsia"/>
          <w:lang w:eastAsia="zh-CN"/>
        </w:rPr>
        <w:t xml:space="preserve"> is applied for SCS 15/30/60 kHz</w:t>
      </w:r>
      <w:r>
        <w:rPr>
          <w:rFonts w:hint="eastAsia"/>
          <w:lang w:val="en-US" w:eastAsia="zh-CN"/>
        </w:rPr>
        <w:t>, for SSSG switching on large SCS values like 120</w:t>
      </w:r>
      <w:r>
        <w:rPr>
          <w:rFonts w:hint="eastAsia"/>
          <w:lang w:eastAsia="zh-CN"/>
        </w:rPr>
        <w:t xml:space="preserve">, 480 and 960 </w:t>
      </w:r>
      <w:r>
        <w:rPr>
          <w:rFonts w:hint="eastAsia"/>
          <w:lang w:val="en-US" w:eastAsia="zh-CN"/>
        </w:rPr>
        <w:t>kHz, UE need</w:t>
      </w:r>
      <w:r>
        <w:rPr>
          <w:lang w:val="en-US" w:eastAsia="zh-CN"/>
        </w:rPr>
        <w:t>s</w:t>
      </w:r>
      <w:r>
        <w:rPr>
          <w:rFonts w:hint="eastAsia"/>
          <w:lang w:val="en-US" w:eastAsia="zh-CN"/>
        </w:rPr>
        <w:t xml:space="preserve"> to </w:t>
      </w:r>
      <w:r>
        <w:rPr>
          <w:rFonts w:hint="eastAsia"/>
          <w:lang w:eastAsia="zh-CN"/>
        </w:rPr>
        <w:t xml:space="preserve">dynamically change between two PDCCH monitoring </w:t>
      </w:r>
      <w:r>
        <w:rPr>
          <w:rFonts w:hint="eastAsia"/>
          <w:lang w:val="en-US" w:eastAsia="zh-CN"/>
        </w:rPr>
        <w:t xml:space="preserve">periodicity/granularity. </w:t>
      </w:r>
      <w:r>
        <w:rPr>
          <w:rFonts w:hint="eastAsia"/>
          <w:lang w:eastAsia="zh-CN"/>
        </w:rPr>
        <w:t xml:space="preserve">SSS switching operation is also related to whether per slot PDCCH monitoring is supported. </w:t>
      </w:r>
      <w:r>
        <w:rPr>
          <w:rFonts w:hint="eastAsia"/>
          <w:lang w:val="en-US" w:eastAsia="zh-CN"/>
        </w:rPr>
        <w:t>Besides, t</w:t>
      </w:r>
      <w:r>
        <w:rPr>
          <w:rFonts w:hint="eastAsia"/>
          <w:lang w:eastAsia="zh-CN"/>
        </w:rPr>
        <w:t>he switching time</w:t>
      </w:r>
      <w:r>
        <w:rPr>
          <w:rFonts w:hint="eastAsia"/>
          <w:lang w:val="en-US" w:eastAsia="zh-CN"/>
        </w:rPr>
        <w:t xml:space="preserv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switcℎ</m:t>
            </m:r>
            <m:ctrlPr>
              <w:rPr>
                <w:rFonts w:ascii="Cambria Math" w:hAnsi="Cambria Math"/>
                <w:i/>
              </w:rPr>
            </m:ctrlPr>
          </m:sub>
        </m:sSub>
      </m:oMath>
      <w:r>
        <w:rPr>
          <w:rFonts w:hint="eastAsia"/>
          <w:lang w:eastAsia="zh-CN"/>
        </w:rPr>
        <w:t xml:space="preserve"> with all SCSs supported in above 52.6 GHz needs to be defined if SSSG switching is agreed to be supported. </w:t>
      </w:r>
    </w:p>
    <w:p>
      <w:pPr>
        <w:widowControl w:val="0"/>
        <w:spacing w:before="200" w:after="60" w:line="260" w:lineRule="auto"/>
        <w:jc w:val="both"/>
        <w:rPr>
          <w:rFonts w:eastAsia="宋体"/>
          <w:b/>
          <w:lang w:val="en-US" w:eastAsia="zh-CN"/>
        </w:rPr>
      </w:pPr>
      <w:r>
        <w:rPr>
          <w:rFonts w:hint="eastAsia" w:eastAsia="宋体"/>
          <w:b/>
          <w:lang w:val="en-US" w:eastAsia="zh-CN"/>
        </w:rPr>
        <w:t>Proposal 6: Support SSSG switching for SCS 120/480/960 kHz, and the following points can be further studied:</w:t>
      </w:r>
    </w:p>
    <w:p>
      <w:pPr>
        <w:numPr>
          <w:ilvl w:val="0"/>
          <w:numId w:val="16"/>
        </w:numPr>
        <w:spacing w:after="40" w:line="240" w:lineRule="auto"/>
        <w:ind w:left="1260"/>
        <w:jc w:val="both"/>
        <w:rPr>
          <w:rFonts w:eastAsia="宋体"/>
          <w:b/>
          <w:lang w:val="en-US" w:eastAsia="zh-CN"/>
        </w:rPr>
      </w:pPr>
      <w:r>
        <w:rPr>
          <w:rFonts w:hint="eastAsia" w:eastAsia="宋体"/>
          <w:b/>
          <w:lang w:val="en-US" w:eastAsia="zh-CN"/>
        </w:rPr>
        <w:t>SSSG switching between two different periodicities of multi-slot PDCCH monitoring or between multi-slot and per-slot monitoring if per-slot monitoring is supported for 480/960 kHz</w:t>
      </w:r>
    </w:p>
    <w:p>
      <w:pPr>
        <w:numPr>
          <w:ilvl w:val="0"/>
          <w:numId w:val="16"/>
        </w:numPr>
        <w:spacing w:after="40" w:line="240" w:lineRule="auto"/>
        <w:ind w:left="1260"/>
        <w:jc w:val="both"/>
        <w:rPr>
          <w:rFonts w:eastAsia="宋体"/>
          <w:b/>
          <w:bCs/>
          <w:lang w:val="en-US" w:eastAsia="zh-CN"/>
        </w:rPr>
      </w:pPr>
      <w:r>
        <w:rPr>
          <w:b/>
          <w:bCs/>
          <w:lang w:eastAsia="zh-CN"/>
        </w:rPr>
        <w:t>The switching time</w:t>
      </w:r>
      <w:r>
        <w:rPr>
          <w:b/>
          <w:bCs/>
          <w:lang w:val="en-US" w:eastAsia="zh-CN"/>
        </w:rPr>
        <w:t xml:space="preserve"> </w:t>
      </w:r>
      <m:oMath>
        <m:sSub>
          <m:sSubPr>
            <m:ctrlPr>
              <w:rPr>
                <w:rFonts w:ascii="Cambria Math" w:hAnsi="Cambria Math"/>
                <w:b/>
                <w:bCs/>
                <w:i/>
              </w:rPr>
            </m:ctrlPr>
          </m:sSubPr>
          <m:e>
            <m:r>
              <m:rPr>
                <m:sty m:val="bi"/>
              </m:rPr>
              <w:rPr>
                <w:rFonts w:ascii="Cambria Math" w:hAnsi="Cambria Math"/>
              </w:rPr>
              <m:t>P</m:t>
            </m:r>
            <m:ctrlPr>
              <w:rPr>
                <w:rFonts w:ascii="Cambria Math" w:hAnsi="Cambria Math"/>
                <w:b/>
                <w:bCs/>
                <w:i/>
              </w:rPr>
            </m:ctrlPr>
          </m:e>
          <m:sub>
            <m:r>
              <m:rPr>
                <m:sty m:val="bi"/>
              </m:rPr>
              <w:rPr>
                <w:rFonts w:ascii="Cambria Math" w:hAnsi="Cambria Math"/>
              </w:rPr>
              <m:t>switch</m:t>
            </m:r>
            <m:ctrlPr>
              <w:rPr>
                <w:rFonts w:ascii="Cambria Math" w:hAnsi="Cambria Math"/>
                <w:b/>
                <w:bCs/>
                <w:i/>
              </w:rPr>
            </m:ctrlPr>
          </m:sub>
        </m:sSub>
      </m:oMath>
      <w:r>
        <w:rPr>
          <w:b/>
          <w:bCs/>
        </w:rPr>
        <w:t xml:space="preserve"> </w:t>
      </w:r>
      <w:r>
        <w:rPr>
          <w:b/>
          <w:bCs/>
          <w:lang w:eastAsia="zh-CN"/>
        </w:rPr>
        <w:t xml:space="preserve"> with all SCSs supported in above 52.6 GHz</w:t>
      </w:r>
    </w:p>
    <w:p>
      <w:pPr>
        <w:pStyle w:val="3"/>
        <w:numPr>
          <w:ilvl w:val="1"/>
          <w:numId w:val="0"/>
        </w:numPr>
        <w:snapToGrid w:val="0"/>
        <w:spacing w:after="240" w:line="260" w:lineRule="auto"/>
        <w:rPr>
          <w:rFonts w:hint="default"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5</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Dropping rule</w:t>
      </w:r>
    </w:p>
    <w:p>
      <w:pPr>
        <w:numPr>
          <w:ilvl w:val="1"/>
          <w:numId w:val="0"/>
        </w:numPr>
        <w:snapToGrid w:val="0"/>
        <w:spacing w:after="240" w:line="260" w:lineRule="auto"/>
        <w:jc w:val="both"/>
        <w:rPr>
          <w:rFonts w:hint="eastAsia" w:eastAsia="宋体"/>
          <w:lang w:val="en-US" w:eastAsia="zh-CN"/>
        </w:rPr>
      </w:pPr>
      <w:r>
        <w:rPr>
          <w:rFonts w:hint="eastAsia"/>
          <w:lang w:val="en-US"/>
        </w:rPr>
        <w:t xml:space="preserve">In NR Rel-15, according </w:t>
      </w:r>
      <w:r>
        <w:rPr>
          <w:rFonts w:hint="eastAsia" w:eastAsia="宋体"/>
          <w:lang w:val="en-US" w:eastAsia="zh-CN"/>
        </w:rPr>
        <w:t xml:space="preserve">to </w:t>
      </w:r>
      <w:r>
        <w:rPr>
          <w:rFonts w:hint="eastAsia"/>
          <w:lang w:val="en-US"/>
        </w:rPr>
        <w:t xml:space="preserve">the UE capability on the maximum number of BDs/CCEs in a slot, </w:t>
      </w:r>
      <w:r>
        <w:rPr>
          <w:rFonts w:hint="eastAsia" w:eastAsia="宋体"/>
          <w:lang w:val="en-US" w:eastAsia="zh-CN"/>
        </w:rPr>
        <w:t>the SS set dropping rule is only allowed for PCell or PSCell and gNB should guarantee that the configured CSS sets do not exceed a UE</w:t>
      </w:r>
      <w:r>
        <w:rPr>
          <w:rFonts w:hint="default" w:eastAsia="宋体"/>
          <w:lang w:val="en-US" w:eastAsia="zh-CN"/>
        </w:rPr>
        <w:t>’</w:t>
      </w:r>
      <w:r>
        <w:rPr>
          <w:rFonts w:hint="eastAsia" w:eastAsia="宋体"/>
          <w:lang w:val="en-US" w:eastAsia="zh-CN"/>
        </w:rPr>
        <w:t>s capability. The specific configuration in Rel-15 Clause 10.1 of TS 38.213 is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tabs>
                <w:tab w:val="left" w:pos="450"/>
              </w:tabs>
              <w:snapToGrid w:val="0"/>
              <w:spacing w:after="240" w:line="260" w:lineRule="auto"/>
              <w:jc w:val="both"/>
              <w:rPr>
                <w:rFonts w:hint="eastAsia" w:eastAsia="宋体"/>
                <w:i/>
                <w:iCs/>
                <w:lang w:val="en-US" w:eastAsia="zh-CN"/>
              </w:rPr>
            </w:pPr>
            <w:r>
              <w:rPr>
                <w:i/>
                <w:iCs/>
              </w:rPr>
              <w:t>A UE does not expect to be configured CSS sets that result to corresponding total, or per scheduled cell, numbers of monitored PDCCH candidates and non-overlapped CCEs per slot that exceed the corresponding maximum numbers per slot</w:t>
            </w:r>
            <w:r>
              <w:rPr>
                <w:rFonts w:hint="eastAsia" w:eastAsia="宋体"/>
                <w:i/>
                <w:iCs/>
                <w:lang w:val="en-US" w:eastAsia="zh-CN"/>
              </w:rPr>
              <w:t>.</w:t>
            </w:r>
          </w:p>
          <w:p>
            <w:pPr>
              <w:numPr>
                <w:ilvl w:val="1"/>
                <w:numId w:val="0"/>
              </w:numPr>
              <w:tabs>
                <w:tab w:val="left" w:pos="450"/>
              </w:tabs>
              <w:snapToGrid w:val="0"/>
              <w:spacing w:after="240" w:line="260" w:lineRule="auto"/>
              <w:jc w:val="both"/>
              <w:rPr>
                <w:rFonts w:hint="default" w:eastAsia="宋体"/>
                <w:vertAlign w:val="baseline"/>
                <w:lang w:val="en-US" w:eastAsia="zh-CN"/>
              </w:rPr>
            </w:pPr>
            <w:r>
              <w:rPr>
                <w:rFonts w:hint="eastAsia"/>
                <w:i/>
                <w:iCs/>
                <w:lang w:val="en-US"/>
              </w:rPr>
              <w:t>For same cell scheduling or for cross-carrier scheduling where a scheduling cell and scheduled cell(s) have DL BWPs with same SCS configuration</w:t>
            </w:r>
            <w:r>
              <w:rPr>
                <w:rFonts w:hint="eastAsia" w:eastAsia="宋体"/>
                <w:i/>
                <w:iCs/>
                <w:lang w:val="en-US" w:eastAsia="zh-CN"/>
              </w:rPr>
              <w:t xml:space="preserve"> </w:t>
            </w:r>
            <w:r>
              <w:rPr>
                <w:color w:val="auto"/>
                <w:position w:val="-10"/>
              </w:rPr>
              <w:object>
                <v:shape id="_x0000_i1027" o:spt="75" type="#_x0000_t75" style="height:14.25pt;width:14.2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7">
                  <o:LockedField>false</o:LockedField>
                </o:OLEObject>
              </w:object>
            </w:r>
            <w:r>
              <w:rPr>
                <w:rFonts w:hint="eastAsia"/>
                <w:i/>
                <w:iCs/>
                <w:lang w:val="en-US"/>
              </w:rPr>
              <w:t>, a UE does not expect a number of PDCCH candidates, and a number of corresponding non-overlapped CCEs per slot on a secondary cell to be larger than the corresponding numbers that the UE is capable of monitoring on the secondary cell per slot.</w:t>
            </w:r>
          </w:p>
        </w:tc>
      </w:tr>
    </w:tbl>
    <w:p>
      <w:pPr>
        <w:numPr>
          <w:ilvl w:val="1"/>
          <w:numId w:val="0"/>
        </w:numPr>
        <w:snapToGrid w:val="0"/>
        <w:spacing w:before="180" w:after="180" w:line="260" w:lineRule="auto"/>
        <w:jc w:val="both"/>
        <w:rPr>
          <w:rFonts w:hint="default" w:eastAsia="宋体"/>
          <w:lang w:val="en-US" w:eastAsia="zh-CN"/>
        </w:rPr>
      </w:pPr>
      <w:r>
        <w:rPr>
          <w:rFonts w:hint="eastAsia" w:eastAsia="宋体"/>
          <w:lang w:val="en-US" w:eastAsia="zh-CN"/>
        </w:rPr>
        <w:t>For 480/960kHz SCS in above 52.6GHz, the similar dropping rule as in Rel-15 can be extended for multi-slot PDCCH monitoring capability. The SS set dropping rule is only allowed for PCell or PSCell and gNB should guarantee that the configured CSS sets do not exceed a UE</w:t>
      </w:r>
      <w:r>
        <w:rPr>
          <w:rFonts w:hint="default" w:eastAsia="宋体"/>
          <w:lang w:val="en-US" w:eastAsia="zh-CN"/>
        </w:rPr>
        <w:t>’</w:t>
      </w:r>
      <w:r>
        <w:rPr>
          <w:rFonts w:hint="eastAsia" w:eastAsia="宋体"/>
          <w:lang w:val="en-US" w:eastAsia="zh-CN"/>
        </w:rPr>
        <w:t>s capability. The proposed modifications for spec are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tabs>
                <w:tab w:val="left" w:pos="450"/>
              </w:tabs>
              <w:snapToGrid w:val="0"/>
              <w:spacing w:after="240" w:line="260" w:lineRule="auto"/>
              <w:jc w:val="both"/>
              <w:rPr>
                <w:rFonts w:hint="default" w:eastAsia="宋体"/>
                <w:lang w:val="en-US" w:eastAsia="zh-CN"/>
              </w:rPr>
            </w:pPr>
            <w:r>
              <w:rPr>
                <w:rFonts w:hint="default" w:eastAsia="宋体"/>
                <w:lang w:val="en-US" w:eastAsia="zh-CN"/>
              </w:rPr>
              <w:t xml:space="preserve">A UE does not expect to be configured CSS sets that result to corresponding total, or per scheduled cell, numbers of monitored PDCCH candidates and non-overlapped CCEs </w:t>
            </w:r>
            <w:r>
              <w:rPr>
                <w:rFonts w:hint="default" w:eastAsia="宋体"/>
                <w:color w:val="2F5597" w:themeColor="accent1" w:themeShade="BF"/>
                <w:lang w:val="en-US" w:eastAsia="zh-CN"/>
              </w:rPr>
              <w:t>per slot</w:t>
            </w:r>
            <w:r>
              <w:rPr>
                <w:rFonts w:hint="eastAsia" w:eastAsia="宋体"/>
                <w:color w:val="2F5597" w:themeColor="accent1" w:themeShade="BF"/>
                <w:lang w:val="en-US" w:eastAsia="zh-CN"/>
              </w:rPr>
              <w:t xml:space="preserve"> group</w:t>
            </w:r>
            <w:r>
              <w:rPr>
                <w:rFonts w:hint="default" w:eastAsia="宋体"/>
                <w:lang w:val="en-US" w:eastAsia="zh-CN"/>
              </w:rPr>
              <w:t xml:space="preserve"> that exceed the corresponding maximum numbers </w:t>
            </w:r>
            <w:r>
              <w:rPr>
                <w:rFonts w:hint="default" w:eastAsia="宋体"/>
                <w:color w:val="2F5597" w:themeColor="accent1" w:themeShade="BF"/>
                <w:lang w:val="en-US" w:eastAsia="zh-CN"/>
              </w:rPr>
              <w:t>per slot</w:t>
            </w:r>
            <w:r>
              <w:rPr>
                <w:rFonts w:hint="eastAsia" w:eastAsia="宋体"/>
                <w:color w:val="2F5597" w:themeColor="accent1" w:themeShade="BF"/>
                <w:lang w:val="en-US" w:eastAsia="zh-CN"/>
              </w:rPr>
              <w:t xml:space="preserve"> group</w:t>
            </w:r>
            <w:r>
              <w:rPr>
                <w:rFonts w:hint="eastAsia" w:eastAsia="宋体"/>
                <w:lang w:val="en-US" w:eastAsia="zh-CN"/>
              </w:rPr>
              <w:t>.</w:t>
            </w:r>
          </w:p>
          <w:p>
            <w:pPr>
              <w:numPr>
                <w:ilvl w:val="1"/>
                <w:numId w:val="0"/>
              </w:numPr>
              <w:snapToGrid w:val="0"/>
              <w:spacing w:after="240" w:line="260" w:lineRule="auto"/>
              <w:jc w:val="both"/>
              <w:rPr>
                <w:rFonts w:hint="eastAsia" w:eastAsia="宋体"/>
                <w:vertAlign w:val="baseline"/>
                <w:lang w:val="en-US" w:eastAsia="zh-CN"/>
              </w:rPr>
            </w:pPr>
            <w:r>
              <w:rPr>
                <w:rFonts w:hint="eastAsia"/>
                <w:i w:val="0"/>
                <w:iCs w:val="0"/>
                <w:lang w:val="en-US"/>
              </w:rPr>
              <w:t>For same cell scheduling or for cross-carrier scheduling where a scheduling cell and scheduled cell(s) have DL BWPs with same SCS configuration</w:t>
            </w:r>
            <w:r>
              <w:rPr>
                <w:rFonts w:hint="eastAsia" w:eastAsia="宋体"/>
                <w:i w:val="0"/>
                <w:iCs w:val="0"/>
                <w:lang w:val="en-US" w:eastAsia="zh-CN"/>
              </w:rPr>
              <w:t xml:space="preserve"> </w:t>
            </w:r>
            <w:r>
              <w:rPr>
                <w:color w:val="auto"/>
                <w:position w:val="-10"/>
              </w:rPr>
              <w:object>
                <v:shape id="_x0000_i1028" o:spt="75" type="#_x0000_t75" style="height:14.25pt;width:14.2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8">
                  <o:LockedField>false</o:LockedField>
                </o:OLEObject>
              </w:object>
            </w:r>
            <w:r>
              <w:rPr>
                <w:rFonts w:hint="eastAsia"/>
                <w:i w:val="0"/>
                <w:iCs w:val="0"/>
                <w:lang w:val="en-US"/>
              </w:rPr>
              <w:t xml:space="preserve">, a UE does not expect a number of PDCCH candidates, and a number of corresponding non-overlapped CCEs </w:t>
            </w:r>
            <w:r>
              <w:rPr>
                <w:rFonts w:hint="eastAsia"/>
                <w:i w:val="0"/>
                <w:iCs w:val="0"/>
                <w:color w:val="2F5597" w:themeColor="accent1" w:themeShade="BF"/>
                <w:lang w:val="en-US"/>
              </w:rPr>
              <w:t>per slot</w:t>
            </w:r>
            <w:r>
              <w:rPr>
                <w:rFonts w:hint="eastAsia" w:eastAsia="宋体"/>
                <w:i w:val="0"/>
                <w:iCs w:val="0"/>
                <w:color w:val="2F5597" w:themeColor="accent1" w:themeShade="BF"/>
                <w:lang w:val="en-US" w:eastAsia="zh-CN"/>
              </w:rPr>
              <w:t xml:space="preserve"> group</w:t>
            </w:r>
            <w:r>
              <w:rPr>
                <w:rFonts w:hint="eastAsia"/>
                <w:i w:val="0"/>
                <w:iCs w:val="0"/>
                <w:lang w:val="en-US"/>
              </w:rPr>
              <w:t xml:space="preserve"> on a secondary cell to be larger than the corresponding numbers that the UE is capable of monitoring on the secondary cell </w:t>
            </w:r>
            <w:r>
              <w:rPr>
                <w:rFonts w:hint="eastAsia"/>
                <w:i w:val="0"/>
                <w:iCs w:val="0"/>
                <w:color w:val="2F5597" w:themeColor="accent1" w:themeShade="BF"/>
                <w:lang w:val="en-US"/>
              </w:rPr>
              <w:t>per slot</w:t>
            </w:r>
            <w:r>
              <w:rPr>
                <w:rFonts w:hint="eastAsia" w:eastAsia="宋体"/>
                <w:i w:val="0"/>
                <w:iCs w:val="0"/>
                <w:color w:val="2F5597" w:themeColor="accent1" w:themeShade="BF"/>
                <w:lang w:val="en-US" w:eastAsia="zh-CN"/>
              </w:rPr>
              <w:t xml:space="preserve"> group</w:t>
            </w:r>
            <w:r>
              <w:rPr>
                <w:rFonts w:hint="eastAsia"/>
                <w:i w:val="0"/>
                <w:iCs w:val="0"/>
                <w:lang w:val="en-US"/>
              </w:rPr>
              <w:t>.</w:t>
            </w:r>
          </w:p>
        </w:tc>
      </w:tr>
    </w:tbl>
    <w:p>
      <w:pPr>
        <w:numPr>
          <w:ilvl w:val="1"/>
          <w:numId w:val="0"/>
        </w:numPr>
        <w:snapToGrid w:val="0"/>
        <w:spacing w:before="180" w:after="180" w:line="260" w:lineRule="auto"/>
        <w:jc w:val="both"/>
        <w:rPr>
          <w:rFonts w:hint="eastAsia" w:eastAsia="宋体"/>
          <w:lang w:val="en-US" w:eastAsia="zh-CN"/>
        </w:rPr>
      </w:pPr>
      <w:r>
        <w:rPr>
          <w:rFonts w:hint="eastAsia" w:eastAsia="宋体"/>
          <w:lang w:val="en-US" w:eastAsia="zh-CN"/>
        </w:rPr>
        <w:t xml:space="preserve">Regarding USS set dropping in multi-slot PDCCH monitoring, same as in Rel-15, a USS set with higher SS set index is dropped. There are two alternative options when the USS set is configured in multiple slots, </w:t>
      </w:r>
    </w:p>
    <w:p>
      <w:pPr>
        <w:numPr>
          <w:ilvl w:val="1"/>
          <w:numId w:val="0"/>
        </w:numPr>
        <w:snapToGrid w:val="0"/>
        <w:spacing w:after="40" w:line="260" w:lineRule="auto"/>
        <w:jc w:val="both"/>
        <w:rPr>
          <w:rFonts w:hint="default" w:eastAsia="宋体"/>
          <w:lang w:val="en-US" w:eastAsia="zh-CN"/>
        </w:rPr>
      </w:pPr>
      <w:r>
        <w:rPr>
          <w:rFonts w:hint="eastAsia" w:eastAsia="宋体"/>
          <w:lang w:val="en-US" w:eastAsia="zh-CN"/>
        </w:rPr>
        <w:t>Alt1: The USS set in multiple slots with higher SS set index is dropped slot by slot when overbooking happens.</w:t>
      </w:r>
    </w:p>
    <w:p>
      <w:pPr>
        <w:numPr>
          <w:ilvl w:val="1"/>
          <w:numId w:val="0"/>
        </w:numPr>
        <w:tabs>
          <w:tab w:val="left" w:pos="450"/>
        </w:tabs>
        <w:snapToGrid w:val="0"/>
        <w:spacing w:after="180" w:line="260" w:lineRule="auto"/>
        <w:jc w:val="both"/>
        <w:rPr>
          <w:rFonts w:hint="default" w:eastAsia="宋体"/>
          <w:lang w:val="en-US" w:eastAsia="zh-CN"/>
        </w:rPr>
      </w:pPr>
      <w:r>
        <w:rPr>
          <w:rFonts w:hint="eastAsia" w:eastAsia="宋体"/>
          <w:lang w:val="en-US" w:eastAsia="zh-CN"/>
        </w:rPr>
        <w:t>Alt2: The whole USS set in multiple slots with higher SS set index is dropped when overbooking happens.</w:t>
      </w:r>
    </w:p>
    <w:p>
      <w:pPr>
        <w:numPr>
          <w:ilvl w:val="1"/>
          <w:numId w:val="0"/>
        </w:numPr>
        <w:snapToGrid w:val="0"/>
        <w:spacing w:after="240" w:line="260" w:lineRule="auto"/>
        <w:jc w:val="both"/>
        <w:rPr>
          <w:rFonts w:hint="eastAsia"/>
          <w:lang w:val="en-US"/>
        </w:rPr>
      </w:pPr>
      <w:r>
        <w:rPr>
          <w:rFonts w:hint="eastAsia" w:eastAsia="宋体"/>
          <w:lang w:val="en-US" w:eastAsia="zh-CN"/>
        </w:rPr>
        <w:t>Considering configuration and standardization complexity, we slightly prefer Alt 2 even though Alt1 can save more slots of USS.</w:t>
      </w:r>
    </w:p>
    <w:p>
      <w:pPr>
        <w:numPr>
          <w:ilvl w:val="1"/>
          <w:numId w:val="0"/>
        </w:numPr>
        <w:snapToGrid w:val="0"/>
        <w:spacing w:after="240" w:line="260" w:lineRule="auto"/>
        <w:jc w:val="both"/>
        <w:rPr>
          <w:rFonts w:hint="eastAsia" w:eastAsia="宋体"/>
          <w:b/>
          <w:bCs/>
          <w:lang w:val="en-US" w:eastAsia="zh-CN"/>
        </w:rPr>
      </w:pPr>
      <w:r>
        <w:rPr>
          <w:rFonts w:hint="eastAsia" w:eastAsia="宋体"/>
          <w:b/>
          <w:bCs/>
          <w:lang w:val="en-US" w:eastAsia="zh-CN"/>
        </w:rPr>
        <w:t>Proposal 7: For multi-slot PDCCH monitoring capability, the similar dropping rule as Rel-15 can be used.</w:t>
      </w:r>
    </w:p>
    <w:p>
      <w:pPr>
        <w:numPr>
          <w:ilvl w:val="0"/>
          <w:numId w:val="16"/>
        </w:numPr>
        <w:snapToGrid w:val="0"/>
        <w:spacing w:after="40" w:line="240" w:lineRule="auto"/>
        <w:ind w:left="1260"/>
        <w:jc w:val="both"/>
        <w:rPr>
          <w:rFonts w:hint="default" w:eastAsia="宋体"/>
          <w:b/>
          <w:bCs/>
          <w:lang w:val="en-US" w:eastAsia="zh-CN"/>
        </w:rPr>
      </w:pPr>
      <w:r>
        <w:rPr>
          <w:rFonts w:hint="eastAsia" w:eastAsia="宋体"/>
          <w:b/>
          <w:bCs/>
          <w:lang w:val="en-US" w:eastAsia="zh-CN"/>
        </w:rPr>
        <w:t>The SS set dropping rule is only allowed for PCell or PSCell</w:t>
      </w:r>
    </w:p>
    <w:p>
      <w:pPr>
        <w:numPr>
          <w:ilvl w:val="0"/>
          <w:numId w:val="16"/>
        </w:numPr>
        <w:snapToGrid w:val="0"/>
        <w:spacing w:after="40" w:line="240" w:lineRule="auto"/>
        <w:ind w:left="1260"/>
        <w:jc w:val="both"/>
        <w:rPr>
          <w:rFonts w:hint="eastAsia" w:eastAsia="宋体"/>
          <w:b/>
          <w:bCs/>
          <w:lang w:val="en-US" w:eastAsia="zh-CN"/>
        </w:rPr>
      </w:pPr>
      <w:r>
        <w:rPr>
          <w:rFonts w:hint="eastAsia" w:eastAsia="宋体"/>
          <w:b/>
          <w:bCs/>
          <w:lang w:val="en-US" w:eastAsia="zh-CN"/>
        </w:rPr>
        <w:t>The gNB should guarantee that the configured CSS sets do not exceed a UE</w:t>
      </w:r>
      <w:r>
        <w:rPr>
          <w:rFonts w:hint="default" w:eastAsia="宋体"/>
          <w:b/>
          <w:bCs/>
          <w:lang w:val="en-US" w:eastAsia="zh-CN"/>
        </w:rPr>
        <w:t>’</w:t>
      </w:r>
      <w:r>
        <w:rPr>
          <w:rFonts w:hint="eastAsia" w:eastAsia="宋体"/>
          <w:b/>
          <w:bCs/>
          <w:lang w:val="en-US" w:eastAsia="zh-CN"/>
        </w:rPr>
        <w:t>s capability</w:t>
      </w:r>
    </w:p>
    <w:p>
      <w:pPr>
        <w:numPr>
          <w:ilvl w:val="0"/>
          <w:numId w:val="16"/>
        </w:numPr>
        <w:snapToGrid w:val="0"/>
        <w:spacing w:after="40" w:line="240" w:lineRule="auto"/>
        <w:ind w:left="1260"/>
        <w:jc w:val="both"/>
        <w:rPr>
          <w:rFonts w:hint="eastAsia" w:eastAsia="宋体"/>
          <w:b/>
          <w:bCs/>
          <w:lang w:val="en-US" w:eastAsia="zh-CN"/>
        </w:rPr>
      </w:pPr>
      <w:r>
        <w:rPr>
          <w:rFonts w:hint="eastAsia" w:eastAsia="宋体"/>
          <w:b/>
          <w:bCs/>
          <w:lang w:val="en-US" w:eastAsia="zh-CN"/>
        </w:rPr>
        <w:t>The whole USS set in multiple slots with higher SS set index is dropped when overbooking happens.</w:t>
      </w:r>
    </w:p>
    <w:p>
      <w:pPr>
        <w:pStyle w:val="3"/>
        <w:numPr>
          <w:ilvl w:val="1"/>
          <w:numId w:val="0"/>
        </w:numPr>
        <w:snapToGrid w:val="0"/>
        <w:spacing w:after="240" w:line="260" w:lineRule="auto"/>
        <w:jc w:val="left"/>
        <w:rPr>
          <w:rFonts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6</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Cross-carrier scheduling</w:t>
      </w:r>
    </w:p>
    <w:p>
      <w:pPr>
        <w:widowControl w:val="0"/>
        <w:spacing w:line="260" w:lineRule="auto"/>
        <w:jc w:val="both"/>
        <w:rPr>
          <w:rFonts w:hint="default"/>
          <w:lang w:val="en-US"/>
        </w:rPr>
      </w:pPr>
      <w:r>
        <w:rPr>
          <w:rFonts w:hint="eastAsia"/>
          <w:lang w:val="en-US" w:eastAsia="ko-KR"/>
        </w:rPr>
        <w:t>The cross</w:t>
      </w:r>
      <w:r>
        <w:rPr>
          <w:rFonts w:hint="eastAsia" w:eastAsia="宋体"/>
          <w:lang w:val="en-US" w:eastAsia="zh-CN"/>
        </w:rPr>
        <w:t>-</w:t>
      </w:r>
      <w:r>
        <w:rPr>
          <w:rFonts w:hint="eastAsia"/>
          <w:lang w:val="en-US" w:eastAsia="ko-KR"/>
        </w:rPr>
        <w:t>carrier scheduling here mainly refers to</w:t>
      </w:r>
      <w:r>
        <w:rPr>
          <w:rFonts w:hint="eastAsia" w:eastAsia="宋体"/>
          <w:lang w:val="en-US" w:eastAsia="zh-CN"/>
        </w:rPr>
        <w:t xml:space="preserve"> </w:t>
      </w:r>
      <w:r>
        <w:rPr>
          <w:rFonts w:hint="eastAsia"/>
          <w:lang w:val="en-US" w:eastAsia="ko-KR"/>
        </w:rPr>
        <w:t>cross</w:t>
      </w:r>
      <w:r>
        <w:rPr>
          <w:rFonts w:hint="eastAsia" w:eastAsia="宋体"/>
          <w:lang w:val="en-US" w:eastAsia="zh-CN"/>
        </w:rPr>
        <w:t>-</w:t>
      </w:r>
      <w:r>
        <w:rPr>
          <w:rFonts w:hint="eastAsia"/>
          <w:lang w:val="en-US" w:eastAsia="ko-KR"/>
        </w:rPr>
        <w:t xml:space="preserve">carrier scheduling </w:t>
      </w:r>
      <w:r>
        <w:rPr>
          <w:rFonts w:hint="eastAsia" w:eastAsia="宋体"/>
          <w:lang w:val="en-US" w:eastAsia="zh-CN"/>
        </w:rPr>
        <w:t xml:space="preserve">of a cell within 52.6-71GHz band from/to a cell within FR1/FR2. Although a cell within 52.6-71GHz band cross-carrier schedules other cells within FR1/FR2 is less likely, it should not be ruled out unless we find enough proof. In order to further reduce the scheduling complexity, we support the cross-carrier scheduling via adding some restrictions, </w:t>
      </w:r>
      <w:r>
        <w:rPr>
          <w:b w:val="0"/>
          <w:bCs w:val="0"/>
          <w:lang w:val="en-GB"/>
        </w:rPr>
        <w:t>|</w:t>
      </w:r>
      <w:r>
        <w:rPr>
          <w:b w:val="0"/>
          <w:bCs w:val="0"/>
          <w:i/>
          <w:lang w:val="en-GB"/>
        </w:rPr>
        <w:t>μ</w:t>
      </w:r>
      <w:r>
        <w:rPr>
          <w:b w:val="0"/>
          <w:bCs w:val="0"/>
          <w:i/>
          <w:vertAlign w:val="subscript"/>
          <w:lang w:val="en-GB"/>
        </w:rPr>
        <w:t>PDCCH</w:t>
      </w:r>
      <w:r>
        <w:rPr>
          <w:b w:val="0"/>
          <w:bCs w:val="0"/>
          <w:lang w:val="en-GB"/>
        </w:rPr>
        <w:t xml:space="preserve"> − </w:t>
      </w:r>
      <w:r>
        <w:rPr>
          <w:b w:val="0"/>
          <w:bCs w:val="0"/>
          <w:i/>
          <w:lang w:val="en-GB"/>
        </w:rPr>
        <w:t>μ</w:t>
      </w:r>
      <w:r>
        <w:rPr>
          <w:b w:val="0"/>
          <w:bCs w:val="0"/>
          <w:i/>
          <w:vertAlign w:val="subscript"/>
          <w:lang w:val="en-GB"/>
        </w:rPr>
        <w:t>PDSCH</w:t>
      </w:r>
      <w:r>
        <w:rPr>
          <w:b w:val="0"/>
          <w:bCs w:val="0"/>
          <w:lang w:val="en-GB"/>
        </w:rPr>
        <w:t xml:space="preserve"> | </w:t>
      </w:r>
      <w:r>
        <w:rPr>
          <w:rFonts w:hint="eastAsia"/>
          <w:b w:val="0"/>
          <w:bCs w:val="0"/>
          <w:lang w:val="en-GB"/>
        </w:rPr>
        <w:t>≤</w:t>
      </w:r>
      <w:r>
        <w:rPr>
          <w:b w:val="0"/>
          <w:bCs w:val="0"/>
          <w:lang w:val="en-GB"/>
        </w:rPr>
        <w:t xml:space="preserve"> k</w:t>
      </w:r>
      <w:r>
        <w:rPr>
          <w:rFonts w:hint="eastAsia" w:eastAsia="宋体"/>
          <w:lang w:val="en-US" w:eastAsia="zh-CN"/>
        </w:rPr>
        <w:t>. Moreover, according to</w:t>
      </w:r>
      <w:r>
        <w:t xml:space="preserve"> the most recent RAN plenary (RAN#93-e)</w:t>
      </w:r>
      <w:r>
        <w:rPr>
          <w:rFonts w:hint="eastAsia" w:eastAsia="宋体"/>
          <w:lang w:val="en-US" w:eastAsia="zh-CN"/>
        </w:rPr>
        <w:t xml:space="preserve"> [5]</w:t>
      </w:r>
      <w:r>
        <w:t>,  the</w:t>
      </w:r>
      <w:r>
        <w:rPr>
          <w:rFonts w:hint="eastAsia" w:eastAsia="宋体"/>
          <w:lang w:val="en-US" w:eastAsia="zh-CN"/>
        </w:rPr>
        <w:t xml:space="preserve"> following</w:t>
      </w:r>
      <w:r>
        <w:t xml:space="preserve"> FR1 + FR2-2 band combinations</w:t>
      </w:r>
      <w:r>
        <w:rPr>
          <w:rFonts w:hint="eastAsia" w:eastAsia="宋体"/>
          <w:lang w:val="en-US" w:eastAsia="zh-CN"/>
        </w:rPr>
        <w:t xml:space="preserve"> should be considered. </w:t>
      </w:r>
    </w:p>
    <w:p>
      <w:pPr>
        <w:widowControl w:val="0"/>
        <w:numPr>
          <w:ilvl w:val="1"/>
          <w:numId w:val="11"/>
        </w:numPr>
        <w:overflowPunct w:val="0"/>
        <w:snapToGrid/>
        <w:spacing w:after="0" w:line="240" w:lineRule="auto"/>
        <w:rPr>
          <w:rFonts w:eastAsia="宋体"/>
          <w:sz w:val="20"/>
          <w:szCs w:val="20"/>
          <w:lang w:eastAsia="en-GB"/>
        </w:rPr>
      </w:pPr>
      <w:r>
        <w:rPr>
          <w:rFonts w:eastAsia="宋体"/>
          <w:sz w:val="20"/>
          <w:szCs w:val="20"/>
          <w:lang w:val="en-GB" w:eastAsia="ja-JP"/>
        </w:rPr>
        <w:t xml:space="preserve">Specify </w:t>
      </w:r>
      <w:r>
        <w:rPr>
          <w:rFonts w:eastAsia="宋体"/>
          <w:sz w:val="20"/>
          <w:szCs w:val="20"/>
          <w:lang w:val="en-GB" w:eastAsia="zh-CN"/>
        </w:rPr>
        <w:t xml:space="preserve">gNB and UE RF core requirements for the band(s) in the above frequency range, including </w:t>
      </w:r>
      <w:r>
        <w:rPr>
          <w:rFonts w:eastAsia="宋体"/>
          <w:sz w:val="20"/>
          <w:szCs w:val="20"/>
          <w:lang w:eastAsia="en-GB"/>
        </w:rPr>
        <w:t xml:space="preserve">a limited set of example band combinations (see Note 1). </w:t>
      </w:r>
    </w:p>
    <w:p>
      <w:pPr>
        <w:widowControl w:val="0"/>
        <w:numPr>
          <w:ilvl w:val="2"/>
          <w:numId w:val="11"/>
        </w:numPr>
        <w:overflowPunct w:val="0"/>
        <w:snapToGrid/>
        <w:spacing w:after="0" w:line="240" w:lineRule="auto"/>
        <w:rPr>
          <w:rFonts w:eastAsia="等线"/>
          <w:sz w:val="20"/>
          <w:szCs w:val="20"/>
          <w:lang w:val="en-GB" w:eastAsia="ja-JP"/>
        </w:rPr>
      </w:pPr>
      <w:r>
        <w:rPr>
          <w:rFonts w:eastAsia="等线"/>
          <w:sz w:val="20"/>
          <w:szCs w:val="20"/>
          <w:lang w:val="en-GB" w:eastAsia="ja-JP"/>
        </w:rPr>
        <w:t>For the case of FR2-2 DC or CA with an anchor in FR1 the following three example band combinations shall be considered:</w:t>
      </w:r>
    </w:p>
    <w:p>
      <w:pPr>
        <w:widowControl w:val="0"/>
        <w:numPr>
          <w:ilvl w:val="3"/>
          <w:numId w:val="11"/>
        </w:numPr>
        <w:overflowPunct w:val="0"/>
        <w:snapToGrid/>
        <w:spacing w:after="0" w:line="240" w:lineRule="auto"/>
        <w:rPr>
          <w:rFonts w:eastAsia="等线"/>
          <w:sz w:val="20"/>
          <w:szCs w:val="20"/>
          <w:highlight w:val="none"/>
          <w:lang w:val="en-GB" w:eastAsia="ja-JP"/>
        </w:rPr>
      </w:pPr>
      <w:r>
        <w:rPr>
          <w:rFonts w:eastAsia="等线"/>
          <w:sz w:val="20"/>
          <w:szCs w:val="20"/>
          <w:highlight w:val="none"/>
          <w:lang w:val="en-GB" w:eastAsia="ja-JP"/>
        </w:rPr>
        <w:t xml:space="preserve">n79 + Nx </w:t>
      </w:r>
    </w:p>
    <w:p>
      <w:pPr>
        <w:widowControl w:val="0"/>
        <w:numPr>
          <w:ilvl w:val="3"/>
          <w:numId w:val="11"/>
        </w:numPr>
        <w:overflowPunct w:val="0"/>
        <w:snapToGrid/>
        <w:spacing w:after="0" w:line="240" w:lineRule="auto"/>
        <w:rPr>
          <w:rFonts w:eastAsia="等线"/>
          <w:sz w:val="20"/>
          <w:szCs w:val="20"/>
          <w:highlight w:val="none"/>
          <w:lang w:val="en-GB" w:eastAsia="ja-JP"/>
        </w:rPr>
      </w:pPr>
      <w:r>
        <w:rPr>
          <w:rFonts w:eastAsia="等线"/>
          <w:sz w:val="20"/>
          <w:szCs w:val="20"/>
          <w:highlight w:val="none"/>
          <w:lang w:val="en-GB" w:eastAsia="ja-JP"/>
        </w:rPr>
        <w:t xml:space="preserve">n77 + Nx </w:t>
      </w:r>
    </w:p>
    <w:p>
      <w:pPr>
        <w:widowControl w:val="0"/>
        <w:numPr>
          <w:ilvl w:val="3"/>
          <w:numId w:val="11"/>
        </w:numPr>
        <w:overflowPunct w:val="0"/>
        <w:snapToGrid/>
        <w:spacing w:after="0" w:line="240" w:lineRule="auto"/>
        <w:rPr>
          <w:rFonts w:eastAsia="等线"/>
          <w:sz w:val="20"/>
          <w:szCs w:val="20"/>
          <w:highlight w:val="none"/>
          <w:lang w:val="en-GB" w:eastAsia="ja-JP"/>
        </w:rPr>
      </w:pPr>
      <w:r>
        <w:rPr>
          <w:rFonts w:eastAsia="等线"/>
          <w:sz w:val="20"/>
          <w:szCs w:val="20"/>
          <w:highlight w:val="none"/>
          <w:lang w:val="en-GB" w:eastAsia="ja-JP"/>
        </w:rPr>
        <w:t xml:space="preserve">n41 + Nx </w:t>
      </w:r>
    </w:p>
    <w:p>
      <w:pPr>
        <w:widowControl w:val="0"/>
        <w:numPr>
          <w:ilvl w:val="2"/>
          <w:numId w:val="11"/>
        </w:numPr>
        <w:overflowPunct w:val="0"/>
        <w:snapToGrid/>
        <w:spacing w:after="0" w:line="240" w:lineRule="auto"/>
        <w:rPr>
          <w:rFonts w:eastAsia="等线"/>
          <w:sz w:val="20"/>
          <w:szCs w:val="20"/>
          <w:lang w:val="en-GB" w:eastAsia="ja-JP"/>
        </w:rPr>
      </w:pPr>
      <w:r>
        <w:rPr>
          <w:rFonts w:eastAsia="等线"/>
          <w:sz w:val="20"/>
          <w:szCs w:val="20"/>
          <w:lang w:val="en-GB" w:eastAsia="ja-JP"/>
        </w:rPr>
        <w:t xml:space="preserve">where Nx is the 57-71 GHz band for unlicensed operation and the [66-71] GHz for licensed operation. </w:t>
      </w:r>
    </w:p>
    <w:p>
      <w:pPr>
        <w:widowControl w:val="0"/>
        <w:numPr>
          <w:ilvl w:val="2"/>
          <w:numId w:val="11"/>
        </w:numPr>
        <w:overflowPunct w:val="0"/>
        <w:snapToGrid/>
        <w:spacing w:after="0" w:line="240" w:lineRule="auto"/>
        <w:rPr>
          <w:rFonts w:eastAsia="宋体"/>
          <w:sz w:val="20"/>
          <w:szCs w:val="20"/>
          <w:lang w:eastAsia="en-GB"/>
        </w:rPr>
      </w:pPr>
      <w:r>
        <w:rPr>
          <w:rFonts w:eastAsia="宋体"/>
          <w:sz w:val="20"/>
          <w:szCs w:val="20"/>
          <w:lang w:val="en-GB" w:eastAsia="ja-JP"/>
        </w:rPr>
        <w:t>RAN4 to further discuss the need for single or multiple bands relevant for FR2-2 licensed/unlicensed operation.</w:t>
      </w:r>
    </w:p>
    <w:p>
      <w:pPr>
        <w:pStyle w:val="58"/>
        <w:ind w:left="720" w:firstLine="0"/>
        <w:rPr>
          <w:lang w:eastAsia="zh-CN"/>
        </w:rPr>
      </w:pPr>
      <w:r>
        <w:rPr>
          <w:lang w:eastAsia="zh-CN"/>
        </w:rPr>
        <w:t>Note 1: The WI can be completed provided requirements for at least one band combination involving a new NR-U band is specified</w:t>
      </w:r>
      <w:r>
        <w:t xml:space="preserve"> </w:t>
      </w:r>
      <w:r>
        <w:rPr>
          <w:lang w:eastAsia="zh-CN"/>
        </w:rPr>
        <w:t>as long as it is in line with country-specific regulatory directives.</w:t>
      </w:r>
    </w:p>
    <w:p>
      <w:pPr>
        <w:widowControl/>
        <w:spacing w:line="240" w:lineRule="auto"/>
        <w:jc w:val="left"/>
        <w:rPr>
          <w:rFonts w:hint="default"/>
          <w:lang w:val="en-US" w:eastAsia="zh-CN"/>
        </w:rPr>
      </w:pPr>
      <w:r>
        <w:rPr>
          <w:rFonts w:hint="eastAsia" w:eastAsia="宋体"/>
          <w:lang w:val="en-US" w:eastAsia="zh-CN"/>
        </w:rPr>
        <w:t>We can not rule out the case of a cell with low SCS (e.g. 15kHz) cross-carrier schedules other cells with high SCS (e.g. 480kHz) since the bands n79, n77, n41 are defined in FR1. The value of k should be no less than 4 to support cross carrier scheduling from FR2-2 to FR1.</w:t>
      </w:r>
    </w:p>
    <w:p>
      <w:pPr>
        <w:widowControl/>
        <w:spacing w:before="120" w:line="240" w:lineRule="auto"/>
        <w:jc w:val="both"/>
        <w:rPr>
          <w:b/>
          <w:bCs/>
          <w:lang w:val="en-GB"/>
        </w:rPr>
      </w:pPr>
      <w:r>
        <w:rPr>
          <w:rFonts w:hint="eastAsia" w:eastAsia="宋体"/>
          <w:b/>
          <w:bCs/>
          <w:lang w:val="en-US" w:eastAsia="zh-CN"/>
        </w:rPr>
        <w:t xml:space="preserve">Proposal 8: </w:t>
      </w:r>
      <w:r>
        <w:rPr>
          <w:b/>
          <w:bCs/>
          <w:lang w:val="en-GB"/>
        </w:rPr>
        <w:t>Cross-carrier scheduling of a cell within 52.6-71 GHz</w:t>
      </w:r>
      <w:r>
        <w:rPr>
          <w:rFonts w:hint="eastAsia" w:eastAsia="宋体"/>
          <w:b/>
          <w:bCs/>
          <w:lang w:val="en-US" w:eastAsia="zh-CN"/>
        </w:rPr>
        <w:t xml:space="preserve"> band</w:t>
      </w:r>
      <w:r>
        <w:rPr>
          <w:b/>
          <w:bCs/>
          <w:lang w:val="en-GB"/>
        </w:rPr>
        <w:t xml:space="preserve"> from/to a cell </w:t>
      </w:r>
      <w:r>
        <w:rPr>
          <w:rFonts w:hint="eastAsia" w:eastAsia="宋体"/>
          <w:b/>
          <w:bCs/>
          <w:lang w:val="en-US" w:eastAsia="zh-CN"/>
        </w:rPr>
        <w:t>within FR1/FR2</w:t>
      </w:r>
      <w:r>
        <w:rPr>
          <w:b/>
          <w:bCs/>
          <w:lang w:val="en-GB"/>
        </w:rPr>
        <w:t xml:space="preserve">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k</w:t>
      </w:r>
      <w:r>
        <w:rPr>
          <w:rFonts w:hint="eastAsia" w:eastAsia="宋体"/>
          <w:b/>
          <w:bCs/>
          <w:lang w:val="en-US" w:eastAsia="zh-CN"/>
        </w:rPr>
        <w:t xml:space="preserve"> and k </w:t>
      </w:r>
      <w:r>
        <w:rPr>
          <w:rFonts w:hint="default" w:ascii="Arial" w:hAnsi="Arial" w:eastAsia="宋体" w:cs="Arial"/>
          <w:b/>
          <w:bCs/>
          <w:lang w:val="en-US" w:eastAsia="zh-CN"/>
        </w:rPr>
        <w:t>≥</w:t>
      </w:r>
      <w:r>
        <w:rPr>
          <w:rFonts w:hint="eastAsia" w:eastAsia="宋体"/>
          <w:b/>
          <w:bCs/>
          <w:lang w:val="en-US" w:eastAsia="zh-CN"/>
        </w:rPr>
        <w:t xml:space="preserve"> 4</w:t>
      </w:r>
      <w:r>
        <w:rPr>
          <w:b/>
          <w:bCs/>
          <w:lang w:val="en-GB"/>
        </w:rPr>
        <w:t>.</w:t>
      </w:r>
    </w:p>
    <w:p>
      <w:pPr>
        <w:widowControl w:val="0"/>
        <w:spacing w:line="260" w:lineRule="auto"/>
        <w:jc w:val="both"/>
        <w:rPr>
          <w:rFonts w:eastAsia="宋体"/>
          <w:lang w:val="en-US" w:eastAsia="zh-CN"/>
        </w:rPr>
      </w:pPr>
      <w:r>
        <w:rPr>
          <w:rFonts w:hint="eastAsia"/>
          <w:lang w:val="en-US" w:eastAsia="ko-KR"/>
        </w:rPr>
        <w:t>Another problem</w:t>
      </w:r>
      <w:r>
        <w:rPr>
          <w:rFonts w:hint="eastAsia" w:eastAsia="宋体"/>
          <w:lang w:val="en-US" w:eastAsia="zh-CN"/>
        </w:rPr>
        <w:t>s</w:t>
      </w:r>
      <w:r>
        <w:rPr>
          <w:rFonts w:hint="eastAsia"/>
          <w:lang w:val="en-US" w:eastAsia="ko-KR"/>
        </w:rPr>
        <w:t xml:space="preserve"> related to cross</w:t>
      </w:r>
      <w:r>
        <w:rPr>
          <w:rFonts w:hint="eastAsia" w:eastAsia="宋体"/>
          <w:lang w:val="en-US" w:eastAsia="zh-CN"/>
        </w:rPr>
        <w:t>-</w:t>
      </w:r>
      <w:r>
        <w:rPr>
          <w:rFonts w:hint="eastAsia"/>
          <w:lang w:val="en-US" w:eastAsia="ko-KR"/>
        </w:rPr>
        <w:t xml:space="preserve">carrier scheduling </w:t>
      </w:r>
      <w:r>
        <w:rPr>
          <w:rFonts w:hint="eastAsia" w:eastAsia="宋体"/>
          <w:lang w:val="en-US" w:eastAsia="zh-CN"/>
        </w:rPr>
        <w:t>are</w:t>
      </w:r>
      <w:r>
        <w:rPr>
          <w:rFonts w:hint="eastAsia"/>
          <w:lang w:val="en-US" w:eastAsia="ko-KR"/>
        </w:rPr>
        <w:t xml:space="preserve"> minimum PDSCH scheduling delay and minimum </w:t>
      </w:r>
      <w:r>
        <w:rPr>
          <w:rFonts w:hint="eastAsia" w:eastAsia="宋体"/>
          <w:lang w:val="en-US" w:eastAsia="zh-CN"/>
        </w:rPr>
        <w:t>A</w:t>
      </w:r>
      <w:r>
        <w:rPr>
          <w:rFonts w:hint="eastAsia"/>
          <w:lang w:val="en-US" w:eastAsia="ko-KR"/>
        </w:rPr>
        <w:t>-</w:t>
      </w:r>
      <w:r>
        <w:rPr>
          <w:rFonts w:hint="eastAsia" w:eastAsia="宋体"/>
          <w:lang w:val="en-US" w:eastAsia="zh-CN"/>
        </w:rPr>
        <w:t>CSI-</w:t>
      </w:r>
      <w:r>
        <w:rPr>
          <w:rFonts w:hint="eastAsia"/>
          <w:lang w:val="en-US" w:eastAsia="ko-KR"/>
        </w:rPr>
        <w:t xml:space="preserve"> RS trigger delay. </w:t>
      </w:r>
      <w:r>
        <w:rPr>
          <w:rFonts w:hint="eastAsia" w:eastAsia="宋体"/>
          <w:lang w:val="en-US" w:eastAsia="zh-CN"/>
        </w:rPr>
        <w:t>In Rel-15/16 NR</w:t>
      </w:r>
      <w:r>
        <w:rPr>
          <w:rFonts w:hint="eastAsia"/>
          <w:lang w:val="en-US" w:eastAsia="ko-KR"/>
        </w:rPr>
        <w:t>, cross</w:t>
      </w:r>
      <w:r>
        <w:rPr>
          <w:rFonts w:hint="eastAsia" w:eastAsia="宋体"/>
          <w:lang w:val="en-US" w:eastAsia="zh-CN"/>
        </w:rPr>
        <w:t>-</w:t>
      </w:r>
      <w:r>
        <w:rPr>
          <w:rFonts w:hint="eastAsia"/>
          <w:lang w:val="en-US" w:eastAsia="ko-KR"/>
        </w:rPr>
        <w:t xml:space="preserve">carrier scheduling only supports four cases of </w:t>
      </w:r>
      <w:r>
        <w:rPr>
          <w:rFonts w:hint="eastAsia" w:eastAsia="宋体"/>
          <w:lang w:val="en-US" w:eastAsia="zh-CN"/>
        </w:rPr>
        <w:t xml:space="preserve">PDCCH with </w:t>
      </w:r>
      <w:r>
        <w:rPr>
          <w:rFonts w:hint="eastAsia"/>
          <w:lang w:val="en-US" w:eastAsia="ko-KR"/>
        </w:rPr>
        <w:t>u = 0, 1, 2 and 3</w:t>
      </w:r>
      <w:r>
        <w:rPr>
          <w:rFonts w:hint="eastAsia" w:eastAsia="宋体"/>
          <w:lang w:val="en-US" w:eastAsia="zh-CN"/>
        </w:rPr>
        <w:t>, as given in Table 5.5-1 and Table 5.2.1.5.1a in TS 38.214</w:t>
      </w:r>
      <w:r>
        <w:rPr>
          <w:rFonts w:hint="eastAsia"/>
          <w:lang w:val="en-US" w:eastAsia="ko-KR"/>
        </w:rPr>
        <w:t xml:space="preserve">. The 120kHz </w:t>
      </w:r>
      <w:r>
        <w:rPr>
          <w:rFonts w:hint="eastAsia" w:eastAsia="宋体"/>
          <w:lang w:val="en-US" w:eastAsia="zh-CN"/>
        </w:rPr>
        <w:t>SCS in</w:t>
      </w:r>
      <w:r>
        <w:rPr>
          <w:rFonts w:hint="eastAsia"/>
          <w:lang w:val="en-US" w:eastAsia="ko-KR"/>
        </w:rPr>
        <w:t xml:space="preserve"> above 52.6</w:t>
      </w:r>
      <w:r>
        <w:rPr>
          <w:rFonts w:hint="eastAsia" w:eastAsia="宋体"/>
          <w:lang w:val="en-US" w:eastAsia="zh-CN"/>
        </w:rPr>
        <w:t>GHz band</w:t>
      </w:r>
      <w:r>
        <w:rPr>
          <w:rFonts w:hint="eastAsia"/>
          <w:lang w:val="en-US" w:eastAsia="ko-KR"/>
        </w:rPr>
        <w:t xml:space="preserve"> can reuse</w:t>
      </w:r>
      <w:r>
        <w:rPr>
          <w:rFonts w:hint="eastAsia" w:eastAsia="宋体"/>
          <w:lang w:val="en-US" w:eastAsia="zh-CN"/>
        </w:rPr>
        <w:t xml:space="preserve"> the value of</w:t>
      </w:r>
      <w:r>
        <w:rPr>
          <w:rFonts w:hint="eastAsia"/>
          <w:lang w:val="en-US" w:eastAsia="ko-KR"/>
        </w:rPr>
        <w:t xml:space="preserve"> u = 3</w:t>
      </w:r>
      <w:r>
        <w:rPr>
          <w:rFonts w:hint="eastAsia" w:eastAsia="宋体"/>
          <w:lang w:val="en-US" w:eastAsia="zh-CN"/>
        </w:rPr>
        <w:t xml:space="preserve">. But the values of </w:t>
      </w:r>
      <w:r>
        <w:rPr>
          <w:i/>
          <w:lang w:val="en-AU"/>
        </w:rPr>
        <w:t>µ</w:t>
      </w:r>
      <w:r>
        <w:rPr>
          <w:i/>
          <w:vertAlign w:val="subscript"/>
          <w:lang w:val="en-AU"/>
        </w:rPr>
        <w:t>PDCCH</w:t>
      </w:r>
      <w:r>
        <w:rPr>
          <w:rFonts w:hint="eastAsia" w:eastAsia="宋体"/>
          <w:i/>
          <w:vertAlign w:val="subscript"/>
          <w:lang w:val="en-US" w:eastAsia="zh-CN"/>
        </w:rPr>
        <w:t xml:space="preserve"> </w:t>
      </w:r>
      <w:r>
        <w:rPr>
          <w:rFonts w:hint="eastAsia" w:eastAsia="宋体"/>
          <w:lang w:val="en-US" w:eastAsia="zh-CN"/>
        </w:rPr>
        <w:t xml:space="preserve">with </w:t>
      </w:r>
      <w:r>
        <w:rPr>
          <w:rFonts w:hint="eastAsia"/>
          <w:lang w:val="en-US" w:eastAsia="ko-KR"/>
        </w:rPr>
        <w:t>480/960</w:t>
      </w:r>
      <w:r>
        <w:rPr>
          <w:rFonts w:hint="eastAsia" w:eastAsia="宋体"/>
          <w:lang w:val="en-US" w:eastAsia="zh-CN"/>
        </w:rPr>
        <w:t>kHz</w:t>
      </w:r>
      <w:r>
        <w:rPr>
          <w:rFonts w:hint="eastAsia"/>
          <w:lang w:val="en-US" w:eastAsia="ko-KR"/>
        </w:rPr>
        <w:t xml:space="preserve"> </w:t>
      </w:r>
      <w:r>
        <w:rPr>
          <w:rFonts w:hint="eastAsia" w:eastAsia="宋体"/>
          <w:lang w:val="en-US" w:eastAsia="zh-CN"/>
        </w:rPr>
        <w:t xml:space="preserve">SCS </w:t>
      </w:r>
      <w:r>
        <w:rPr>
          <w:rFonts w:hint="eastAsia"/>
          <w:lang w:val="en-US" w:eastAsia="ko-KR"/>
        </w:rPr>
        <w:t>need to be determined.</w:t>
      </w:r>
      <w:r>
        <w:rPr>
          <w:rFonts w:hint="eastAsia" w:eastAsia="宋体"/>
          <w:lang w:val="en-US" w:eastAsia="zh-CN"/>
        </w:rPr>
        <w:t xml:space="preserve"> The same values of </w:t>
      </w:r>
      <w:r>
        <w:rPr>
          <w:i/>
          <w:lang w:val="en-AU"/>
        </w:rPr>
        <w:t>µ</w:t>
      </w:r>
      <w:r>
        <w:rPr>
          <w:i/>
          <w:vertAlign w:val="subscript"/>
          <w:lang w:val="en-AU"/>
        </w:rPr>
        <w:t>PDCCH</w:t>
      </w:r>
      <w:r>
        <w:rPr>
          <w:rFonts w:hint="eastAsia" w:eastAsia="宋体"/>
          <w:i/>
          <w:vertAlign w:val="subscript"/>
          <w:lang w:val="en-US" w:eastAsia="zh-CN"/>
        </w:rPr>
        <w:t xml:space="preserve"> </w:t>
      </w:r>
      <w:r>
        <w:rPr>
          <w:rFonts w:hint="eastAsia" w:eastAsia="宋体"/>
          <w:lang w:val="en-US" w:eastAsia="zh-CN"/>
        </w:rPr>
        <w:t xml:space="preserve">for </w:t>
      </w:r>
      <w:r>
        <w:rPr>
          <w:rFonts w:hint="eastAsia"/>
          <w:lang w:val="en-US" w:eastAsia="ko-KR"/>
        </w:rPr>
        <w:t xml:space="preserve">minimum PDSCH scheduling delay and minimum </w:t>
      </w:r>
      <w:r>
        <w:rPr>
          <w:rFonts w:hint="eastAsia" w:eastAsia="宋体"/>
          <w:lang w:val="en-US" w:eastAsia="zh-CN"/>
        </w:rPr>
        <w:t>A</w:t>
      </w:r>
      <w:r>
        <w:rPr>
          <w:rFonts w:hint="eastAsia"/>
          <w:lang w:val="en-US" w:eastAsia="ko-KR"/>
        </w:rPr>
        <w:t>-</w:t>
      </w:r>
      <w:r>
        <w:rPr>
          <w:rFonts w:hint="eastAsia" w:eastAsia="宋体"/>
          <w:lang w:val="en-US" w:eastAsia="zh-CN"/>
        </w:rPr>
        <w:t>CSI-</w:t>
      </w:r>
      <w:r>
        <w:rPr>
          <w:rFonts w:hint="eastAsia"/>
          <w:lang w:val="en-US" w:eastAsia="ko-KR"/>
        </w:rPr>
        <w:t>RS trigger delay</w:t>
      </w:r>
      <w:r>
        <w:rPr>
          <w:rFonts w:hint="eastAsia" w:eastAsia="宋体"/>
          <w:lang w:val="en-US" w:eastAsia="zh-CN"/>
        </w:rPr>
        <w:t xml:space="preserve"> can be used for </w:t>
      </w:r>
      <w:r>
        <w:rPr>
          <w:rFonts w:hint="eastAsia"/>
          <w:lang w:val="en-US" w:eastAsia="ko-KR"/>
        </w:rPr>
        <w:t>480/960</w:t>
      </w:r>
      <w:r>
        <w:rPr>
          <w:rFonts w:hint="eastAsia" w:eastAsia="宋体"/>
          <w:lang w:val="en-US" w:eastAsia="zh-CN"/>
        </w:rPr>
        <w:t>kHz</w:t>
      </w:r>
      <w:r>
        <w:rPr>
          <w:rFonts w:hint="eastAsia"/>
          <w:lang w:val="en-US" w:eastAsia="ko-KR"/>
        </w:rPr>
        <w:t xml:space="preserve"> </w:t>
      </w:r>
      <w:r>
        <w:rPr>
          <w:rFonts w:hint="eastAsia" w:eastAsia="宋体"/>
          <w:lang w:val="en-US" w:eastAsia="zh-CN"/>
        </w:rPr>
        <w:t>SCS.</w:t>
      </w:r>
    </w:p>
    <w:p>
      <w:pPr>
        <w:pStyle w:val="75"/>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14</w:t>
            </w:r>
          </w:p>
        </w:tc>
      </w:tr>
    </w:tbl>
    <w:p>
      <w:pPr>
        <w:widowControl w:val="0"/>
        <w:rPr>
          <w:rFonts w:hAnsi="宋体" w:eastAsia="宋体" w:cs="宋体" w:asciiTheme="minorHAnsi"/>
          <w:lang w:val="en-US" w:eastAsia="zh-CN"/>
        </w:rPr>
      </w:pPr>
    </w:p>
    <w:p>
      <w:pPr>
        <w:pStyle w:val="75"/>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[14]</w:t>
            </w:r>
          </w:p>
        </w:tc>
      </w:tr>
    </w:tbl>
    <w:p>
      <w:pPr>
        <w:widowControl w:val="0"/>
        <w:spacing w:before="200" w:after="200" w:line="260" w:lineRule="auto"/>
        <w:jc w:val="both"/>
        <w:rPr>
          <w:rFonts w:hint="eastAsia" w:eastAsia="宋体"/>
          <w:b/>
          <w:lang w:val="en-US" w:eastAsia="zh-CN"/>
        </w:rPr>
      </w:pPr>
      <w:r>
        <w:rPr>
          <w:rFonts w:hint="eastAsia" w:eastAsia="宋体"/>
          <w:b/>
          <w:lang w:val="en-US" w:eastAsia="zh-CN"/>
        </w:rPr>
        <w:t xml:space="preserve">Proposal 9: The values of </w:t>
      </w:r>
      <w:r>
        <w:rPr>
          <w:b/>
          <w:i/>
          <w:lang w:val="en-AU"/>
        </w:rPr>
        <w:t>µ</w:t>
      </w:r>
      <w:r>
        <w:rPr>
          <w:b/>
          <w:i/>
          <w:vertAlign w:val="subscript"/>
          <w:lang w:val="en-AU"/>
        </w:rPr>
        <w:t>PDCCH</w:t>
      </w:r>
      <w:r>
        <w:rPr>
          <w:rFonts w:hint="eastAsia" w:eastAsia="宋体"/>
          <w:b/>
          <w:i/>
          <w:vertAlign w:val="subscript"/>
          <w:lang w:val="en-US" w:eastAsia="zh-CN"/>
        </w:rPr>
        <w:t xml:space="preserve"> </w:t>
      </w:r>
      <w:r>
        <w:rPr>
          <w:rFonts w:hint="eastAsia" w:eastAsia="宋体"/>
          <w:b/>
          <w:lang w:val="en-US" w:eastAsia="zh-CN"/>
        </w:rPr>
        <w:t xml:space="preserve">with </w:t>
      </w:r>
      <w:r>
        <w:rPr>
          <w:rFonts w:hint="eastAsia"/>
          <w:b/>
          <w:lang w:val="en-US" w:eastAsia="ko-KR"/>
        </w:rPr>
        <w:t>480/960</w:t>
      </w:r>
      <w:r>
        <w:rPr>
          <w:rFonts w:hint="eastAsia" w:eastAsia="宋体"/>
          <w:b/>
          <w:lang w:val="en-US" w:eastAsia="zh-CN"/>
        </w:rPr>
        <w:t>kHz</w:t>
      </w:r>
      <w:r>
        <w:rPr>
          <w:rFonts w:hint="eastAsia"/>
          <w:b/>
          <w:lang w:val="en-US" w:eastAsia="ko-KR"/>
        </w:rPr>
        <w:t xml:space="preserve"> </w:t>
      </w:r>
      <w:r>
        <w:rPr>
          <w:rFonts w:hint="eastAsia" w:eastAsia="宋体"/>
          <w:b/>
          <w:lang w:val="en-US" w:eastAsia="zh-CN"/>
        </w:rPr>
        <w:t xml:space="preserve">SCS for </w:t>
      </w:r>
      <w:r>
        <w:rPr>
          <w:rFonts w:hint="eastAsia"/>
          <w:b/>
          <w:lang w:val="en-US" w:eastAsia="ko-KR"/>
        </w:rPr>
        <w:t xml:space="preserve">minimum PDSCH scheduling delay and minimum </w:t>
      </w:r>
      <w:r>
        <w:rPr>
          <w:rFonts w:hint="eastAsia" w:eastAsia="宋体"/>
          <w:b/>
          <w:lang w:val="en-US" w:eastAsia="zh-CN"/>
        </w:rPr>
        <w:t>A</w:t>
      </w:r>
      <w:r>
        <w:rPr>
          <w:rFonts w:hint="eastAsia"/>
          <w:b/>
          <w:lang w:val="en-US" w:eastAsia="ko-KR"/>
        </w:rPr>
        <w:t>-</w:t>
      </w:r>
      <w:r>
        <w:rPr>
          <w:rFonts w:hint="eastAsia" w:eastAsia="宋体"/>
          <w:b/>
          <w:lang w:val="en-US" w:eastAsia="zh-CN"/>
        </w:rPr>
        <w:t>CSI-</w:t>
      </w:r>
      <w:r>
        <w:rPr>
          <w:rFonts w:hint="eastAsia"/>
          <w:b/>
          <w:lang w:val="en-US" w:eastAsia="ko-KR"/>
        </w:rPr>
        <w:t>RS trigger delay</w:t>
      </w:r>
      <w:r>
        <w:rPr>
          <w:rFonts w:hint="eastAsia" w:eastAsia="宋体"/>
          <w:b/>
          <w:lang w:val="en-US" w:eastAsia="zh-CN"/>
        </w:rPr>
        <w:t xml:space="preserve"> should be determined.</w:t>
      </w:r>
    </w:p>
    <w:p>
      <w:pPr>
        <w:pStyle w:val="3"/>
        <w:numPr>
          <w:ilvl w:val="1"/>
          <w:numId w:val="0"/>
        </w:numPr>
        <w:snapToGrid w:val="0"/>
        <w:spacing w:after="240" w:line="260" w:lineRule="auto"/>
        <w:rPr>
          <w:rFonts w:hint="eastAsia"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7</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PDCCH Extension</w:t>
      </w:r>
    </w:p>
    <w:p>
      <w:pPr>
        <w:bidi w:val="0"/>
        <w:jc w:val="both"/>
        <w:rPr>
          <w:rFonts w:hint="eastAsia"/>
          <w:lang w:val="en-US" w:eastAsia="zh-CN"/>
        </w:rPr>
      </w:pPr>
      <w:r>
        <w:rPr>
          <w:rFonts w:hint="default"/>
          <w:lang w:val="en-US" w:eastAsia="zh-CN"/>
        </w:rPr>
        <w:t>For the newly introduced SCS i.e. 480/960 kHz in Rel-17 NR above 52.6 GHz, the length of the slot/symbol becomes shorter. Given the current CORESET config</w:t>
      </w:r>
      <w:r>
        <w:rPr>
          <w:rFonts w:hint="eastAsia"/>
          <w:lang w:val="en-US" w:eastAsia="zh-CN"/>
        </w:rPr>
        <w:t>u</w:t>
      </w:r>
      <w:r>
        <w:rPr>
          <w:rFonts w:hint="default"/>
          <w:lang w:val="en-US" w:eastAsia="zh-CN"/>
        </w:rPr>
        <w:t>ration</w:t>
      </w:r>
      <w:r>
        <w:rPr>
          <w:rFonts w:hint="eastAsia"/>
          <w:lang w:val="en-US" w:eastAsia="zh-CN"/>
        </w:rPr>
        <w:t xml:space="preserve"> in Rel-16</w:t>
      </w:r>
      <w:r>
        <w:rPr>
          <w:rFonts w:hint="default"/>
          <w:lang w:val="en-US" w:eastAsia="zh-CN"/>
        </w:rPr>
        <w:t>, the PDCCH is transmitted on up to 3 OFDM symbols</w:t>
      </w:r>
      <w:r>
        <w:rPr>
          <w:rFonts w:hint="eastAsia"/>
          <w:lang w:val="en-US" w:eastAsia="zh-CN"/>
        </w:rPr>
        <w:t xml:space="preserve"> which are quite short and limited. In addition, since a single DCI can schedule multiple PDSCH/PUSCH over multi-slot PDCCH monitoring slots, the DCI transmission reliability is essential to the data transmission efficiency and system performance. Therefore, we suggest considering a duration of more than 3 OFDM symbols for </w:t>
      </w:r>
      <w:r>
        <w:rPr>
          <w:rFonts w:hint="default"/>
          <w:lang w:val="en-US" w:eastAsia="zh-CN"/>
        </w:rPr>
        <w:t>480/960 kHz</w:t>
      </w:r>
      <w:r>
        <w:rPr>
          <w:rFonts w:hint="eastAsia"/>
          <w:lang w:val="en-US" w:eastAsia="zh-CN"/>
        </w:rPr>
        <w:t xml:space="preserve"> SCS since it is beneficial for improving PDCCH coverage and PDCCH monitoring capability.</w:t>
      </w:r>
    </w:p>
    <w:p>
      <w:pPr>
        <w:rPr>
          <w:rFonts w:hint="default"/>
          <w:lang w:val="en-US" w:eastAsia="zh-CN"/>
        </w:rPr>
      </w:pPr>
      <w:r>
        <w:rPr>
          <w:rFonts w:hint="eastAsia" w:eastAsia="宋体"/>
          <w:b/>
          <w:bCs/>
          <w:lang w:val="en-US" w:eastAsia="zh-CN"/>
        </w:rPr>
        <w:t>Proposal 10: C</w:t>
      </w:r>
      <w:r>
        <w:rPr>
          <w:rFonts w:hint="eastAsia"/>
          <w:b/>
          <w:bCs/>
          <w:lang w:val="en-US" w:eastAsia="zh-CN"/>
        </w:rPr>
        <w:t xml:space="preserve">onsidering a duration of more than 3 OFDM symbols for PDCCH with </w:t>
      </w:r>
      <w:r>
        <w:rPr>
          <w:rFonts w:hint="default"/>
          <w:b/>
          <w:bCs/>
          <w:lang w:val="en-US" w:eastAsia="zh-CN"/>
        </w:rPr>
        <w:t>480/960 kHz</w:t>
      </w:r>
      <w:r>
        <w:rPr>
          <w:rFonts w:hint="eastAsia"/>
          <w:b/>
          <w:bCs/>
          <w:lang w:val="en-US" w:eastAsia="zh-CN"/>
        </w:rPr>
        <w:t xml:space="preserve"> SCS </w:t>
      </w:r>
      <w:r>
        <w:rPr>
          <w:rFonts w:hint="default"/>
          <w:b/>
          <w:bCs/>
          <w:lang w:val="en-US" w:eastAsia="zh-CN"/>
        </w:rPr>
        <w:t>in Rel-17 NR above 52.6 GHz</w:t>
      </w:r>
      <w:r>
        <w:rPr>
          <w:rFonts w:hint="eastAsia"/>
          <w:b/>
          <w:bCs/>
          <w:lang w:val="en-US" w:eastAsia="zh-CN"/>
        </w:rPr>
        <w: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spacing w:line="260" w:lineRule="auto"/>
        <w:jc w:val="both"/>
        <w:rPr>
          <w:lang w:val="en-US" w:eastAsia="zh-CN"/>
        </w:rPr>
      </w:pPr>
      <w:r>
        <w:rPr>
          <w:rFonts w:hint="eastAsia"/>
          <w:lang w:val="en-US" w:eastAsia="zh-CN"/>
        </w:rPr>
        <w:t>In this contribution, we discuss PDCCH monitoring enhancements for NR above 52.6 GHz band operation and have the following proposals.</w:t>
      </w:r>
    </w:p>
    <w:p>
      <w:r>
        <w:rPr>
          <w:rFonts w:hint="eastAsia" w:eastAsia="宋体"/>
          <w:b/>
          <w:bCs/>
          <w:lang w:val="en-US" w:eastAsia="zh-CN"/>
        </w:rPr>
        <w:t>Proposal 1: If m</w:t>
      </w:r>
      <w:r>
        <w:rPr>
          <w:b/>
          <w:bCs/>
        </w:rPr>
        <w:t>ulti-slot PDCCH monitoring</w:t>
      </w:r>
      <w:r>
        <w:rPr>
          <w:rFonts w:hint="eastAsia" w:eastAsia="宋体"/>
          <w:b/>
          <w:bCs/>
          <w:lang w:val="en-US" w:eastAsia="zh-CN"/>
        </w:rPr>
        <w:t xml:space="preserve"> </w:t>
      </w:r>
      <w:r>
        <w:rPr>
          <w:b/>
          <w:bCs/>
        </w:rPr>
        <w:t>based on slots within a slot group</w:t>
      </w:r>
      <w:r>
        <w:rPr>
          <w:rFonts w:hint="eastAsia" w:eastAsia="宋体"/>
          <w:b/>
          <w:bCs/>
          <w:lang w:val="en-US" w:eastAsia="zh-CN"/>
        </w:rPr>
        <w:t xml:space="preserve"> is supported, r</w:t>
      </w:r>
      <w:r>
        <w:rPr>
          <w:b/>
          <w:bCs/>
        </w:rPr>
        <w:t xml:space="preserve">eporting the </w:t>
      </w:r>
      <w:r>
        <w:rPr>
          <w:b/>
          <w:bCs/>
          <w:lang w:val="en-US"/>
        </w:rPr>
        <w:t>BD/CCE budget</w:t>
      </w:r>
      <w:r>
        <w:rPr>
          <w:b/>
          <w:bCs/>
        </w:rPr>
        <w:t xml:space="preserve"> for X=4/8 slots (for 480/960 kHz resp.) is mandatory (if UE supports the corresponding SCS),</w:t>
      </w:r>
      <w:r>
        <w:rPr>
          <w:rFonts w:hint="eastAsia" w:eastAsia="宋体"/>
          <w:b/>
          <w:bCs/>
          <w:lang w:val="en-US" w:eastAsia="zh-CN"/>
        </w:rPr>
        <w:t xml:space="preserve"> </w:t>
      </w:r>
      <w:r>
        <w:rPr>
          <w:rFonts w:hint="eastAsia"/>
          <w:b/>
          <w:bCs/>
        </w:rPr>
        <w:t>and is optional for X=4 slots (for 960 kHz )</w:t>
      </w:r>
      <w:r>
        <w:rPr>
          <w:rFonts w:hint="eastAsia" w:eastAsia="宋体"/>
          <w:b/>
          <w:bCs/>
          <w:lang w:val="en-US" w:eastAsia="zh-CN"/>
        </w:rPr>
        <w:t>.</w:t>
      </w:r>
      <w:r>
        <w:rPr>
          <w:b/>
          <w:bCs/>
        </w:rPr>
        <w:t xml:space="preserve"> </w:t>
      </w:r>
      <w:r>
        <w:rPr>
          <w:rFonts w:hint="eastAsia" w:eastAsia="宋体"/>
          <w:b/>
          <w:bCs/>
          <w:lang w:val="en-US" w:eastAsia="zh-CN"/>
        </w:rPr>
        <w:t>D</w:t>
      </w:r>
      <w:r>
        <w:rPr>
          <w:rFonts w:hint="eastAsia" w:eastAsia="宋体"/>
          <w:b/>
          <w:bCs/>
          <w:highlight w:val="none"/>
          <w:lang w:val="en-US" w:eastAsia="zh-CN"/>
        </w:rPr>
        <w:t>e-prioritize other</w:t>
      </w:r>
      <w:r>
        <w:rPr>
          <w:b/>
          <w:bCs/>
          <w:highlight w:val="none"/>
        </w:rPr>
        <w:t xml:space="preserve"> optional</w:t>
      </w:r>
      <w:r>
        <w:rPr>
          <w:rFonts w:hint="eastAsia" w:eastAsia="宋体"/>
          <w:b/>
          <w:bCs/>
          <w:highlight w:val="none"/>
          <w:lang w:val="en-US" w:eastAsia="zh-CN"/>
        </w:rPr>
        <w:t xml:space="preserve"> value of</w:t>
      </w:r>
      <w:r>
        <w:rPr>
          <w:b/>
          <w:bCs/>
          <w:highlight w:val="none"/>
        </w:rPr>
        <w:t xml:space="preserve"> X</w:t>
      </w:r>
      <w:r>
        <w:rPr>
          <w:rFonts w:hint="eastAsia" w:eastAsia="宋体"/>
          <w:b/>
          <w:bCs/>
          <w:highlight w:val="none"/>
          <w:lang w:val="en-US" w:eastAsia="zh-CN"/>
        </w:rPr>
        <w:t xml:space="preserve"> (e.g. [2] </w:t>
      </w:r>
      <w:r>
        <w:rPr>
          <w:b/>
          <w:bCs/>
          <w:highlight w:val="none"/>
        </w:rPr>
        <w:t>slots for 480/960 kHz)</w:t>
      </w:r>
      <w:r>
        <w:rPr>
          <w:rFonts w:hint="eastAsia" w:eastAsia="宋体"/>
          <w:b/>
          <w:bCs/>
          <w:highlight w:val="none"/>
          <w:lang w:val="en-US" w:eastAsia="zh-CN"/>
        </w:rPr>
        <w:t xml:space="preserve"> .</w:t>
      </w:r>
    </w:p>
    <w:p>
      <w:pPr>
        <w:spacing w:after="0" w:line="260" w:lineRule="auto"/>
        <w:jc w:val="both"/>
        <w:rPr>
          <w:rFonts w:hint="default"/>
          <w:b/>
          <w:bCs/>
          <w:lang w:val="en-US" w:eastAsia="zh-CN"/>
        </w:rPr>
      </w:pPr>
      <w:r>
        <w:rPr>
          <w:rFonts w:hint="eastAsia"/>
          <w:b/>
          <w:bCs/>
          <w:lang w:val="en-US" w:eastAsia="zh-CN"/>
        </w:rPr>
        <w:t>Proposal 2: Align Group (1) SS with Group (2) CSS set in the location of Y slots.</w:t>
      </w:r>
    </w:p>
    <w:p>
      <w:pPr>
        <w:numPr>
          <w:ilvl w:val="0"/>
          <w:numId w:val="12"/>
        </w:numPr>
        <w:spacing w:after="0" w:line="260" w:lineRule="auto"/>
        <w:ind w:left="720" w:hanging="360"/>
        <w:rPr>
          <w:b/>
          <w:bCs/>
          <w:lang w:val="en-US"/>
        </w:rPr>
      </w:pPr>
      <w:r>
        <w:rPr>
          <w:b/>
          <w:bCs/>
        </w:rPr>
        <w:t xml:space="preserve">A SS is configured to be within </w:t>
      </w:r>
      <w:r>
        <w:rPr>
          <w:rFonts w:hint="eastAsia" w:eastAsia="宋体"/>
          <w:b/>
          <w:bCs/>
          <w:lang w:val="en-US" w:eastAsia="zh-CN"/>
        </w:rPr>
        <w:t>Y</w:t>
      </w:r>
      <w:r>
        <w:rPr>
          <w:b/>
          <w:bCs/>
        </w:rPr>
        <w:t xml:space="preserve"> consecutive slots within a slot group of X slot</w:t>
      </w:r>
      <w:r>
        <w:rPr>
          <w:rFonts w:hint="eastAsia" w:eastAsia="宋体"/>
          <w:b/>
          <w:bCs/>
          <w:lang w:val="en-US" w:eastAsia="zh-CN"/>
        </w:rPr>
        <w:t>s</w:t>
      </w:r>
    </w:p>
    <w:p>
      <w:pPr>
        <w:numPr>
          <w:ilvl w:val="0"/>
          <w:numId w:val="12"/>
        </w:numPr>
        <w:spacing w:after="0" w:line="260" w:lineRule="auto"/>
        <w:ind w:left="720" w:hanging="360"/>
        <w:rPr>
          <w:b/>
          <w:bCs/>
          <w:lang w:val="en-US"/>
        </w:rPr>
      </w:pPr>
      <w:r>
        <w:rPr>
          <w:b/>
          <w:bCs/>
          <w:lang w:val="en-US"/>
        </w:rPr>
        <w:t xml:space="preserve">The location of the </w:t>
      </w:r>
      <w:r>
        <w:rPr>
          <w:rFonts w:hint="default" w:eastAsia="宋体"/>
          <w:b/>
          <w:bCs/>
          <w:lang w:val="en-US" w:eastAsia="zh-CN"/>
        </w:rPr>
        <w:t>Y</w:t>
      </w:r>
      <w:r>
        <w:rPr>
          <w:b/>
          <w:bCs/>
        </w:rPr>
        <w:t xml:space="preserve"> </w:t>
      </w:r>
      <w:r>
        <w:rPr>
          <w:b/>
          <w:bCs/>
          <w:lang w:val="en-US"/>
        </w:rPr>
        <w:t xml:space="preserve">consecutive slots within a </w:t>
      </w:r>
      <w:r>
        <w:rPr>
          <w:b/>
          <w:bCs/>
        </w:rPr>
        <w:t>slot group of X slots</w:t>
      </w:r>
      <w:r>
        <w:rPr>
          <w:b/>
          <w:bCs/>
          <w:lang w:val="en-US"/>
        </w:rPr>
        <w:t xml:space="preserve"> is maintained across different slot groups (unless n0 changes</w:t>
      </w:r>
      <w:r>
        <w:rPr>
          <w:rFonts w:hint="eastAsia" w:eastAsia="宋体"/>
          <w:b/>
          <w:bCs/>
          <w:lang w:val="en-US" w:eastAsia="zh-CN"/>
        </w:rPr>
        <w:t>)</w:t>
      </w:r>
    </w:p>
    <w:p>
      <w:pPr>
        <w:numPr>
          <w:ilvl w:val="0"/>
          <w:numId w:val="12"/>
        </w:numPr>
        <w:spacing w:after="180" w:line="260" w:lineRule="auto"/>
        <w:ind w:left="726" w:hanging="363"/>
        <w:jc w:val="left"/>
        <w:rPr>
          <w:rFonts w:hint="default"/>
          <w:lang w:val="en-US" w:eastAsia="zh-CN"/>
        </w:rPr>
      </w:pPr>
      <w:r>
        <w:rPr>
          <w:rFonts w:hint="default" w:eastAsia="宋体"/>
          <w:b/>
          <w:bCs/>
          <w:lang w:val="en-US" w:eastAsia="zh-CN"/>
        </w:rPr>
        <w:t>The location of the Y consecutive slots within a slot group of X slots is based on a time offset within the slot group based on slot index n0 determined for Group (2)</w:t>
      </w:r>
      <w:r>
        <w:rPr>
          <w:rFonts w:hint="eastAsia" w:eastAsia="宋体"/>
          <w:b/>
          <w:bCs/>
          <w:lang w:val="en-US" w:eastAsia="zh-CN"/>
        </w:rPr>
        <w:t xml:space="preserve"> SS</w:t>
      </w:r>
      <w:r>
        <w:rPr>
          <w:rFonts w:hint="default" w:eastAsia="宋体"/>
          <w:b/>
          <w:bCs/>
          <w:lang w:val="en-US" w:eastAsia="zh-CN"/>
        </w:rPr>
        <w:t xml:space="preserve"> monitoring.</w:t>
      </w:r>
    </w:p>
    <w:p>
      <w:pPr>
        <w:numPr>
          <w:ilvl w:val="-1"/>
          <w:numId w:val="0"/>
        </w:numPr>
        <w:spacing w:after="40" w:line="260" w:lineRule="auto"/>
        <w:ind w:left="0" w:firstLine="0"/>
        <w:jc w:val="both"/>
        <w:rPr>
          <w:rFonts w:hint="eastAsia" w:eastAsia="宋体"/>
          <w:b/>
          <w:bCs w:val="0"/>
          <w:lang w:val="en-US" w:eastAsia="zh-CN"/>
        </w:rPr>
      </w:pPr>
      <w:r>
        <w:rPr>
          <w:rFonts w:hint="eastAsia" w:eastAsia="宋体"/>
          <w:b/>
          <w:bCs w:val="0"/>
          <w:lang w:val="en-US" w:eastAsia="zh-CN"/>
        </w:rPr>
        <w:t xml:space="preserve">Proposal 3: </w:t>
      </w:r>
    </w:p>
    <w:p>
      <w:pPr>
        <w:numPr>
          <w:ilvl w:val="0"/>
          <w:numId w:val="12"/>
        </w:numPr>
        <w:spacing w:after="0" w:line="260" w:lineRule="auto"/>
        <w:ind w:left="720" w:hanging="360"/>
        <w:rPr>
          <w:b/>
          <w:bCs/>
        </w:rPr>
      </w:pPr>
      <w:r>
        <w:rPr>
          <w:b/>
          <w:bCs/>
          <w:lang w:val="en-US"/>
        </w:rPr>
        <w:t>The reported capability indicates the BD/CCE budget within Y=max(</w:t>
      </w:r>
      <w:r>
        <w:rPr>
          <w:b/>
          <w:bCs/>
        </w:rPr>
        <w:t>Y</w:t>
      </w:r>
      <w:r>
        <w:rPr>
          <w:b/>
          <w:bCs/>
          <w:vertAlign w:val="subscript"/>
        </w:rPr>
        <w:t>Group1</w:t>
      </w:r>
      <w:r>
        <w:rPr>
          <w:b/>
          <w:bCs/>
        </w:rPr>
        <w:t>, 2</w:t>
      </w:r>
      <w:r>
        <w:rPr>
          <w:b/>
          <w:bCs/>
          <w:lang w:val="en-US"/>
        </w:rPr>
        <w:t>) slots per slot group</w:t>
      </w:r>
    </w:p>
    <w:p>
      <w:pPr>
        <w:numPr>
          <w:ilvl w:val="0"/>
          <w:numId w:val="12"/>
        </w:numPr>
        <w:spacing w:after="0" w:line="260" w:lineRule="auto"/>
        <w:ind w:left="720" w:hanging="360"/>
        <w:rPr>
          <w:b/>
          <w:bCs/>
        </w:rPr>
      </w:pPr>
      <w:r>
        <w:rPr>
          <w:b/>
          <w:bCs/>
        </w:rPr>
        <w:t>Support the following values of Y</w:t>
      </w:r>
      <w:r>
        <w:rPr>
          <w:b/>
          <w:bCs/>
          <w:vertAlign w:val="subscript"/>
        </w:rPr>
        <w:t>Group1</w:t>
      </w:r>
      <w:r>
        <w:rPr>
          <w:b/>
          <w:bCs/>
        </w:rPr>
        <w:t xml:space="preserve"> and Y</w:t>
      </w:r>
      <w:r>
        <w:rPr>
          <w:b/>
          <w:bCs/>
          <w:vertAlign w:val="subscript"/>
        </w:rPr>
        <w:t>Group2</w:t>
      </w:r>
    </w:p>
    <w:p>
      <w:pPr>
        <w:numPr>
          <w:ilvl w:val="1"/>
          <w:numId w:val="12"/>
        </w:numPr>
        <w:spacing w:after="0" w:line="260" w:lineRule="auto"/>
        <w:ind w:left="1440" w:hanging="360"/>
        <w:rPr>
          <w:b/>
          <w:bCs/>
        </w:rPr>
      </w:pPr>
      <w:r>
        <w:rPr>
          <w:b/>
          <w:bCs/>
        </w:rPr>
        <w:t>For X=8: (Y</w:t>
      </w:r>
      <w:r>
        <w:rPr>
          <w:b/>
          <w:bCs/>
          <w:vertAlign w:val="subscript"/>
        </w:rPr>
        <w:t>Group1</w:t>
      </w:r>
      <w:r>
        <w:rPr>
          <w:b/>
          <w:bCs/>
        </w:rPr>
        <w:t>,Y</w:t>
      </w:r>
      <w:r>
        <w:rPr>
          <w:b/>
          <w:bCs/>
          <w:vertAlign w:val="subscript"/>
        </w:rPr>
        <w:t>Group2</w:t>
      </w:r>
      <w:r>
        <w:rPr>
          <w:b/>
          <w:bCs/>
        </w:rPr>
        <w:t>) = (4,2),</w:t>
      </w:r>
      <w:r>
        <w:rPr>
          <w:rFonts w:hint="eastAsia" w:eastAsia="宋体"/>
          <w:b/>
          <w:bCs/>
          <w:highlight w:val="none"/>
          <w:lang w:val="en-US" w:eastAsia="zh-CN"/>
        </w:rPr>
        <w:t xml:space="preserve"> (3,2)</w:t>
      </w:r>
      <w:r>
        <w:rPr>
          <w:rFonts w:hint="eastAsia" w:eastAsia="宋体"/>
          <w:b/>
          <w:bCs/>
          <w:lang w:val="en-US" w:eastAsia="zh-CN"/>
        </w:rPr>
        <w:t>,</w:t>
      </w:r>
      <w:r>
        <w:rPr>
          <w:b/>
          <w:bCs/>
        </w:rPr>
        <w:t xml:space="preserve"> (2,2), (1,2)</w:t>
      </w:r>
    </w:p>
    <w:p>
      <w:pPr>
        <w:numPr>
          <w:ilvl w:val="1"/>
          <w:numId w:val="12"/>
        </w:numPr>
        <w:spacing w:after="0" w:line="260" w:lineRule="auto"/>
        <w:ind w:left="1440" w:hanging="360"/>
        <w:rPr>
          <w:b/>
          <w:bCs/>
        </w:rPr>
      </w:pPr>
      <w:r>
        <w:rPr>
          <w:b/>
          <w:bCs/>
        </w:rPr>
        <w:t>For X=4: (Y</w:t>
      </w:r>
      <w:r>
        <w:rPr>
          <w:b/>
          <w:bCs/>
          <w:vertAlign w:val="subscript"/>
        </w:rPr>
        <w:t>Group1</w:t>
      </w:r>
      <w:r>
        <w:rPr>
          <w:b/>
          <w:bCs/>
        </w:rPr>
        <w:t>,Y</w:t>
      </w:r>
      <w:r>
        <w:rPr>
          <w:b/>
          <w:bCs/>
          <w:vertAlign w:val="subscript"/>
        </w:rPr>
        <w:t>Group2</w:t>
      </w:r>
      <w:r>
        <w:rPr>
          <w:b/>
          <w:bCs/>
        </w:rPr>
        <w:t>) = (2,2), (1, 2)</w:t>
      </w:r>
    </w:p>
    <w:p>
      <w:pPr>
        <w:numPr>
          <w:ilvl w:val="-1"/>
          <w:numId w:val="0"/>
        </w:numPr>
        <w:spacing w:after="0" w:line="260" w:lineRule="auto"/>
        <w:ind w:left="360" w:firstLine="0"/>
        <w:rPr>
          <w:b/>
          <w:bCs/>
        </w:rPr>
      </w:pPr>
      <w:r>
        <w:rPr>
          <w:b/>
          <w:bCs/>
        </w:rPr>
        <w:t>Group (1) SS: Type 1 CSS with dedicated RRC configuration and type 3 CSS, UE specific SS</w:t>
      </w:r>
    </w:p>
    <w:p>
      <w:pPr>
        <w:numPr>
          <w:ilvl w:val="-1"/>
          <w:numId w:val="0"/>
        </w:numPr>
        <w:spacing w:after="180" w:line="260" w:lineRule="auto"/>
        <w:ind w:left="363" w:firstLine="0"/>
        <w:jc w:val="left"/>
        <w:rPr>
          <w:rFonts w:hint="eastAsia" w:eastAsia="宋体"/>
          <w:b/>
          <w:bCs w:val="0"/>
          <w:lang w:val="en-US" w:eastAsia="zh-CN"/>
        </w:rPr>
      </w:pPr>
      <w:r>
        <w:rPr>
          <w:b/>
          <w:bCs/>
        </w:rPr>
        <w:t>Group (2) SS: Type 1 CSS without dedicated RRC configuration and type 0, 0A, and 2 CSS</w:t>
      </w:r>
    </w:p>
    <w:p>
      <w:pPr>
        <w:numPr>
          <w:ilvl w:val="1"/>
          <w:numId w:val="0"/>
        </w:numPr>
        <w:snapToGrid w:val="0"/>
        <w:spacing w:after="240" w:line="260" w:lineRule="auto"/>
        <w:jc w:val="both"/>
        <w:rPr>
          <w:rFonts w:hint="eastAsia" w:eastAsia="宋体"/>
          <w:b/>
          <w:bCs/>
          <w:lang w:val="en-US" w:eastAsia="zh-CN"/>
        </w:rPr>
      </w:pPr>
      <w:r>
        <w:rPr>
          <w:rFonts w:hint="eastAsia" w:eastAsia="宋体"/>
          <w:b/>
          <w:bCs/>
          <w:lang w:val="en-US" w:eastAsia="zh-CN"/>
        </w:rPr>
        <w:t>Proposal 4: There is a strong need to consider BD/CCE budget for per slot PDCCH monitoring for SCS 480 kHz and 960 kHz, recommended value range are shown in Table 1.</w:t>
      </w:r>
    </w:p>
    <w:p>
      <w:pPr>
        <w:keepNext/>
        <w:keepLines/>
        <w:overflowPunct w:val="0"/>
        <w:autoSpaceDE w:val="0"/>
        <w:autoSpaceDN w:val="0"/>
        <w:adjustRightInd w:val="0"/>
        <w:spacing w:before="60" w:after="180"/>
        <w:ind w:left="0"/>
        <w:jc w:val="center"/>
        <w:textAlignment w:val="baseline"/>
        <w:rPr>
          <w:rFonts w:ascii="Times New Roman" w:hAnsi="Times New Roman" w:eastAsia="Times New Roman" w:cs="Times New Roman"/>
          <w:b/>
          <w:bCs w:val="0"/>
          <w:kern w:val="0"/>
          <w:sz w:val="20"/>
          <w:szCs w:val="20"/>
          <w:lang w:val="en-GB" w:eastAsia="en-GB"/>
        </w:rPr>
      </w:pPr>
      <w:r>
        <w:rPr>
          <w:rFonts w:ascii="Times New Roman" w:hAnsi="Times New Roman" w:eastAsia="Times New Roman" w:cs="Times New Roman"/>
          <w:b/>
          <w:bCs w:val="0"/>
          <w:kern w:val="0"/>
          <w:sz w:val="20"/>
          <w:szCs w:val="20"/>
          <w:lang w:val="en-GB" w:eastAsia="en-GB"/>
        </w:rPr>
        <w:t xml:space="preserve">Table 1: Maximum number </w:t>
      </w:r>
      <w:r>
        <w:rPr>
          <w:rFonts w:ascii="Times New Roman" w:hAnsi="Times New Roman" w:eastAsia="Times New Roman" w:cs="Times New Roman"/>
          <w:b/>
          <w:bCs w:val="0"/>
          <w:kern w:val="0"/>
          <w:position w:val="-10"/>
          <w:sz w:val="20"/>
          <w:szCs w:val="20"/>
        </w:rPr>
        <w:drawing>
          <wp:inline distT="0" distB="0" distL="0" distR="0">
            <wp:extent cx="556260" cy="236220"/>
            <wp:effectExtent l="0" t="0" r="15240" b="12700"/>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rPr>
          <w:rFonts w:ascii="Times New Roman" w:hAnsi="Times New Roman" w:eastAsia="Times New Roman" w:cs="Times New Roman"/>
          <w:b/>
          <w:bCs w:val="0"/>
          <w:kern w:val="0"/>
          <w:sz w:val="20"/>
          <w:szCs w:val="20"/>
          <w:lang w:val="en-GB" w:eastAsia="en-GB"/>
        </w:rPr>
        <w:t xml:space="preserve"> of monitored PDCCH candidates and non-overlapped CCEs per slot for a DL BWP with SCS configuration </w:t>
      </w:r>
      <w:r>
        <w:rPr>
          <w:rFonts w:ascii="Times New Roman" w:hAnsi="Times New Roman" w:cs="Times New Roman"/>
          <w:b/>
        </w:rPr>
        <w:t xml:space="preserve"> </w:t>
      </w:r>
      <w:r>
        <w:rPr>
          <w:rFonts w:ascii="Times New Roman" w:hAnsi="Times New Roman" w:cs="Times New Roman"/>
          <w:b/>
          <w:position w:val="-10"/>
        </w:rPr>
        <w:object>
          <v:shape id="_x0000_i1029" o:spt="75" type="#_x0000_t75" style="height:16pt;width:78.95pt;" o:ole="t" filled="f" o:preferrelative="t" stroked="f" coordsize="21600,21600">
            <v:path/>
            <v:fill on="f" focussize="0,0"/>
            <v:stroke on="f"/>
            <v:imagedata r:id="rId12" o:title=""/>
            <o:lock v:ext="edit" aspectratio="t"/>
            <w10:wrap type="none"/>
            <w10:anchorlock/>
          </v:shape>
          <o:OLEObject Type="Embed" ProgID="Equation.KSEE3" ShapeID="_x0000_i1029" DrawAspect="Content" ObjectID="_1468075729" r:id="rId19">
            <o:LockedField>false</o:LockedField>
          </o:OLEObject>
        </w:object>
      </w:r>
      <w:r>
        <w:rPr>
          <w:rFonts w:ascii="Times New Roman" w:hAnsi="Times New Roman" w:eastAsia="Times New Roman" w:cs="Times New Roman"/>
          <w:b/>
          <w:bCs w:val="0"/>
          <w:kern w:val="0"/>
          <w:sz w:val="20"/>
          <w:szCs w:val="20"/>
          <w:lang w:val="en-GB" w:eastAsia="en-GB"/>
        </w:rPr>
        <w:t xml:space="preserve"> for a single serving cell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36"/>
        <w:gridCol w:w="3163"/>
        <w:gridCol w:w="2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jc w:val="center"/>
        </w:trPr>
        <w:tc>
          <w:tcPr>
            <w:tcW w:w="636" w:type="dxa"/>
            <w:shd w:val="clear" w:color="auto" w:fill="E0E0E0"/>
            <w:vAlign w:val="center"/>
          </w:tcPr>
          <w:p>
            <w:pPr>
              <w:keepNext/>
              <w:keepLines/>
              <w:overflowPunct w:val="0"/>
              <w:autoSpaceDE w:val="0"/>
              <w:autoSpaceDN w:val="0"/>
              <w:adjustRightInd w:val="0"/>
              <w:ind w:left="0"/>
              <w:jc w:val="center"/>
              <w:textAlignment w:val="baseline"/>
              <w:rPr>
                <w:rFonts w:ascii="Times New Roman" w:hAnsi="Times New Roman" w:eastAsia="Times New Roman" w:cs="Times New Roman"/>
                <w:b/>
                <w:kern w:val="0"/>
                <w:sz w:val="20"/>
                <w:szCs w:val="20"/>
                <w:lang w:val="en-GB" w:eastAsia="en-GB"/>
              </w:rPr>
            </w:pPr>
            <w:r>
              <w:rPr>
                <w:rFonts w:ascii="Times New Roman" w:hAnsi="Times New Roman" w:eastAsia="Times New Roman" w:cs="Times New Roman"/>
                <w:b/>
                <w:kern w:val="0"/>
                <w:position w:val="-10"/>
                <w:sz w:val="20"/>
                <w:szCs w:val="20"/>
              </w:rPr>
              <w:drawing>
                <wp:inline distT="0" distB="0" distL="0" distR="0">
                  <wp:extent cx="182880" cy="182880"/>
                  <wp:effectExtent l="0" t="0" r="7620" b="635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pPr>
              <w:keepNext/>
              <w:keepLines/>
              <w:overflowPunct w:val="0"/>
              <w:autoSpaceDE w:val="0"/>
              <w:autoSpaceDN w:val="0"/>
              <w:adjustRightInd w:val="0"/>
              <w:ind w:left="0"/>
              <w:jc w:val="center"/>
              <w:textAlignment w:val="baseline"/>
              <w:rPr>
                <w:rFonts w:ascii="Times New Roman" w:hAnsi="Times New Roman" w:eastAsia="Times New Roman" w:cs="Times New Roman"/>
                <w:b/>
                <w:kern w:val="0"/>
                <w:sz w:val="20"/>
                <w:szCs w:val="20"/>
                <w:lang w:val="en-GB" w:eastAsia="en-GB"/>
              </w:rPr>
            </w:pPr>
            <w:r>
              <w:rPr>
                <w:rFonts w:ascii="Times New Roman" w:hAnsi="Times New Roman" w:eastAsia="Times New Roman" w:cs="Times New Roman"/>
                <w:b/>
                <w:kern w:val="0"/>
                <w:sz w:val="20"/>
                <w:szCs w:val="20"/>
                <w:lang w:val="en-GB" w:eastAsia="en-GB"/>
              </w:rPr>
              <w:t xml:space="preserve">Maximum number of monitored PDCCH candidates per slot and per serving cell </w:t>
            </w:r>
            <w:r>
              <w:rPr>
                <w:rFonts w:ascii="Times New Roman" w:hAnsi="Times New Roman" w:eastAsia="Times New Roman" w:cs="Times New Roman"/>
                <w:b/>
                <w:kern w:val="0"/>
                <w:position w:val="-10"/>
                <w:sz w:val="20"/>
                <w:szCs w:val="20"/>
              </w:rPr>
              <w:drawing>
                <wp:inline distT="0" distB="0" distL="0" distR="0">
                  <wp:extent cx="556260" cy="251460"/>
                  <wp:effectExtent l="0" t="0" r="0" b="15875"/>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pPr>
              <w:keepNext/>
              <w:keepLines/>
              <w:overflowPunct w:val="0"/>
              <w:autoSpaceDE w:val="0"/>
              <w:autoSpaceDN w:val="0"/>
              <w:adjustRightInd w:val="0"/>
              <w:ind w:left="0"/>
              <w:jc w:val="center"/>
              <w:textAlignment w:val="baseline"/>
              <w:rPr>
                <w:rFonts w:ascii="Times New Roman" w:hAnsi="Times New Roman" w:eastAsia="Times New Roman" w:cs="Times New Roman"/>
                <w:b/>
                <w:kern w:val="0"/>
                <w:sz w:val="20"/>
                <w:szCs w:val="20"/>
                <w:lang w:eastAsia="en-GB"/>
              </w:rPr>
            </w:pPr>
            <w:r>
              <w:rPr>
                <w:rFonts w:ascii="Times New Roman" w:hAnsi="Times New Roman" w:eastAsia="Times New Roman" w:cs="Times New Roman"/>
                <w:b/>
                <w:kern w:val="0"/>
                <w:sz w:val="20"/>
                <w:szCs w:val="20"/>
                <w:lang w:val="en-GB" w:eastAsia="en-GB"/>
              </w:rPr>
              <w:t xml:space="preserve">Maximum number of non-overlapped CCEs per slot and per serving cell </w:t>
            </w:r>
            <w:r>
              <w:rPr>
                <w:rFonts w:ascii="Times New Roman" w:hAnsi="Times New Roman" w:eastAsia="Times New Roman" w:cs="Times New Roman"/>
                <w:b/>
                <w:kern w:val="0"/>
                <w:position w:val="-10"/>
                <w:sz w:val="20"/>
                <w:szCs w:val="20"/>
              </w:rPr>
              <w:drawing>
                <wp:inline distT="0" distB="0" distL="0" distR="0">
                  <wp:extent cx="487680" cy="251460"/>
                  <wp:effectExtent l="0" t="0" r="7620" b="15875"/>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0</w:t>
            </w:r>
          </w:p>
        </w:tc>
        <w:tc>
          <w:tcPr>
            <w:tcW w:w="3163"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44</w:t>
            </w:r>
          </w:p>
        </w:tc>
        <w:tc>
          <w:tcPr>
            <w:tcW w:w="2859" w:type="dxa"/>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1</w:t>
            </w:r>
          </w:p>
        </w:tc>
        <w:tc>
          <w:tcPr>
            <w:tcW w:w="3163"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36</w:t>
            </w:r>
          </w:p>
        </w:tc>
        <w:tc>
          <w:tcPr>
            <w:tcW w:w="2859" w:type="dxa"/>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2</w:t>
            </w:r>
          </w:p>
        </w:tc>
        <w:tc>
          <w:tcPr>
            <w:tcW w:w="3163"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22</w:t>
            </w:r>
          </w:p>
        </w:tc>
        <w:tc>
          <w:tcPr>
            <w:tcW w:w="2859" w:type="dxa"/>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3</w:t>
            </w:r>
          </w:p>
        </w:tc>
        <w:tc>
          <w:tcPr>
            <w:tcW w:w="3163" w:type="dxa"/>
            <w:vAlign w:val="center"/>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20</w:t>
            </w:r>
          </w:p>
        </w:tc>
        <w:tc>
          <w:tcPr>
            <w:tcW w:w="2859" w:type="dxa"/>
          </w:tcPr>
          <w:p>
            <w:pPr>
              <w:keepLines/>
              <w:spacing w:before="40" w:after="40"/>
              <w:ind w:left="0"/>
              <w:jc w:val="center"/>
              <w:rPr>
                <w:rFonts w:hint="default" w:ascii="Times New Roman" w:hAnsi="Times New Roman" w:cs="Times New Roman"/>
                <w:b/>
                <w:kern w:val="0"/>
                <w:sz w:val="20"/>
                <w:szCs w:val="20"/>
                <w:lang w:val="en-US" w:eastAsia="zh-CN"/>
              </w:rPr>
            </w:pPr>
            <w:r>
              <w:rPr>
                <w:rFonts w:hint="default" w:ascii="Times New Roman" w:hAnsi="Times New Roman" w:cs="Times New Roman"/>
                <w:b/>
                <w:kern w:val="0"/>
                <w:sz w:val="20"/>
                <w:szCs w:val="2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5</w:t>
            </w:r>
          </w:p>
        </w:tc>
        <w:tc>
          <w:tcPr>
            <w:tcW w:w="3163" w:type="dxa"/>
            <w:vAlign w:val="center"/>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[1</w:t>
            </w:r>
            <w:r>
              <w:rPr>
                <w:rFonts w:hint="default" w:ascii="Times New Roman" w:hAnsi="Times New Roman" w:cs="Times New Roman"/>
                <w:b/>
                <w:kern w:val="0"/>
                <w:sz w:val="20"/>
                <w:szCs w:val="20"/>
                <w:lang w:val="en-US" w:eastAsia="zh-CN"/>
              </w:rPr>
              <w:t>5</w:t>
            </w:r>
            <w:r>
              <w:rPr>
                <w:rFonts w:ascii="Times New Roman" w:hAnsi="Times New Roman" w:cs="Times New Roman"/>
                <w:b/>
                <w:kern w:val="0"/>
                <w:sz w:val="20"/>
                <w:szCs w:val="20"/>
                <w:lang w:val="en-GB" w:eastAsia="zh-CN"/>
              </w:rPr>
              <w:t>-</w:t>
            </w:r>
            <w:r>
              <w:rPr>
                <w:rFonts w:hint="default" w:ascii="Times New Roman" w:hAnsi="Times New Roman" w:cs="Times New Roman"/>
                <w:b/>
                <w:kern w:val="0"/>
                <w:sz w:val="20"/>
                <w:szCs w:val="20"/>
                <w:lang w:val="en-US" w:eastAsia="zh-CN"/>
              </w:rPr>
              <w:t>20</w:t>
            </w:r>
            <w:r>
              <w:rPr>
                <w:rFonts w:ascii="Times New Roman" w:hAnsi="Times New Roman" w:cs="Times New Roman"/>
                <w:b/>
                <w:kern w:val="0"/>
                <w:sz w:val="20"/>
                <w:szCs w:val="20"/>
                <w:lang w:val="en-GB" w:eastAsia="zh-CN"/>
              </w:rPr>
              <w:t>]</w:t>
            </w:r>
          </w:p>
        </w:tc>
        <w:tc>
          <w:tcPr>
            <w:tcW w:w="2859" w:type="dxa"/>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w:t>
            </w:r>
            <w:r>
              <w:rPr>
                <w:rFonts w:hint="default" w:ascii="Times New Roman" w:hAnsi="Times New Roman" w:cs="Times New Roman"/>
                <w:b/>
                <w:kern w:val="0"/>
                <w:sz w:val="20"/>
                <w:szCs w:val="20"/>
                <w:lang w:val="en-US" w:eastAsia="zh-CN"/>
              </w:rPr>
              <w:t>24-32</w:t>
            </w:r>
            <w:r>
              <w:rPr>
                <w:rFonts w:ascii="Times New Roman" w:hAnsi="Times New Roman" w:cs="Times New Roman"/>
                <w:b/>
                <w:kern w:val="0"/>
                <w:sz w:val="20"/>
                <w:szCs w:val="20"/>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1" w:hRule="atLeast"/>
          <w:jc w:val="center"/>
        </w:trPr>
        <w:tc>
          <w:tcPr>
            <w:tcW w:w="636" w:type="dxa"/>
            <w:vAlign w:val="center"/>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6</w:t>
            </w:r>
          </w:p>
        </w:tc>
        <w:tc>
          <w:tcPr>
            <w:tcW w:w="3163" w:type="dxa"/>
            <w:vAlign w:val="center"/>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w:t>
            </w:r>
            <w:r>
              <w:rPr>
                <w:rFonts w:hint="default" w:ascii="Times New Roman" w:hAnsi="Times New Roman" w:cs="Times New Roman"/>
                <w:b/>
                <w:kern w:val="0"/>
                <w:sz w:val="20"/>
                <w:szCs w:val="20"/>
                <w:lang w:val="en-US" w:eastAsia="zh-CN"/>
              </w:rPr>
              <w:t>10-15</w:t>
            </w:r>
            <w:r>
              <w:rPr>
                <w:rFonts w:ascii="Times New Roman" w:hAnsi="Times New Roman" w:cs="Times New Roman"/>
                <w:b/>
                <w:kern w:val="0"/>
                <w:sz w:val="20"/>
                <w:szCs w:val="20"/>
                <w:lang w:val="en-GB" w:eastAsia="zh-CN"/>
              </w:rPr>
              <w:t>]</w:t>
            </w:r>
          </w:p>
        </w:tc>
        <w:tc>
          <w:tcPr>
            <w:tcW w:w="2859" w:type="dxa"/>
          </w:tcPr>
          <w:p>
            <w:pPr>
              <w:keepLines/>
              <w:spacing w:before="40" w:after="40"/>
              <w:ind w:left="0"/>
              <w:jc w:val="center"/>
              <w:rPr>
                <w:rFonts w:ascii="Times New Roman" w:hAnsi="Times New Roman" w:cs="Times New Roman"/>
                <w:b/>
                <w:kern w:val="0"/>
                <w:sz w:val="20"/>
                <w:szCs w:val="20"/>
                <w:lang w:val="en-GB" w:eastAsia="zh-CN"/>
              </w:rPr>
            </w:pPr>
            <w:r>
              <w:rPr>
                <w:rFonts w:ascii="Times New Roman" w:hAnsi="Times New Roman" w:cs="Times New Roman"/>
                <w:b/>
                <w:kern w:val="0"/>
                <w:sz w:val="20"/>
                <w:szCs w:val="20"/>
                <w:lang w:val="en-GB" w:eastAsia="zh-CN"/>
              </w:rPr>
              <w:t>[</w:t>
            </w:r>
            <w:r>
              <w:rPr>
                <w:rFonts w:hint="default" w:ascii="Times New Roman" w:hAnsi="Times New Roman" w:cs="Times New Roman"/>
                <w:b/>
                <w:kern w:val="0"/>
                <w:sz w:val="20"/>
                <w:szCs w:val="20"/>
                <w:lang w:val="en-US" w:eastAsia="zh-CN"/>
              </w:rPr>
              <w:t>16-24</w:t>
            </w:r>
            <w:r>
              <w:rPr>
                <w:rFonts w:ascii="Times New Roman" w:hAnsi="Times New Roman" w:cs="Times New Roman"/>
                <w:b/>
                <w:kern w:val="0"/>
                <w:sz w:val="20"/>
                <w:szCs w:val="20"/>
                <w:lang w:val="en-GB" w:eastAsia="zh-CN"/>
              </w:rPr>
              <w:t>]</w:t>
            </w:r>
          </w:p>
        </w:tc>
      </w:tr>
    </w:tbl>
    <w:p>
      <w:pPr>
        <w:numPr>
          <w:ilvl w:val="1"/>
          <w:numId w:val="0"/>
        </w:numPr>
        <w:snapToGrid w:val="0"/>
        <w:spacing w:after="240" w:line="260" w:lineRule="auto"/>
        <w:jc w:val="both"/>
        <w:rPr>
          <w:rFonts w:hint="eastAsia" w:eastAsia="宋体"/>
          <w:b/>
          <w:bCs/>
          <w:lang w:val="en-US" w:eastAsia="zh-CN"/>
        </w:rPr>
      </w:pPr>
    </w:p>
    <w:p>
      <w:pPr>
        <w:widowControl w:val="0"/>
        <w:spacing w:after="60" w:line="260" w:lineRule="auto"/>
        <w:jc w:val="both"/>
        <w:rPr>
          <w:rFonts w:hint="eastAsia" w:eastAsia="宋体"/>
          <w:b/>
          <w:lang w:val="en-US" w:eastAsia="zh-CN"/>
        </w:rPr>
      </w:pPr>
      <w:r>
        <w:rPr>
          <w:rFonts w:hint="eastAsia" w:eastAsia="宋体"/>
          <w:b/>
          <w:lang w:val="en-US" w:eastAsia="zh-CN"/>
        </w:rPr>
        <w:t xml:space="preserve">Proposal 5: </w:t>
      </w:r>
      <w:r>
        <w:rPr>
          <w:rFonts w:hint="eastAsia" w:eastAsia="宋体"/>
          <w:b/>
          <w:bCs/>
          <w:lang w:val="en-US" w:eastAsia="zh-CN"/>
        </w:rPr>
        <w:t>If m</w:t>
      </w:r>
      <w:r>
        <w:rPr>
          <w:b/>
          <w:bCs/>
        </w:rPr>
        <w:t>ulti-slot PDCCH monitoring</w:t>
      </w:r>
      <w:r>
        <w:rPr>
          <w:rFonts w:hint="eastAsia" w:eastAsia="宋体"/>
          <w:b/>
          <w:bCs/>
          <w:lang w:val="en-US" w:eastAsia="zh-CN"/>
        </w:rPr>
        <w:t xml:space="preserve"> </w:t>
      </w:r>
      <w:r>
        <w:rPr>
          <w:b/>
          <w:bCs/>
        </w:rPr>
        <w:t>based on slots within a slot group</w:t>
      </w:r>
      <w:r>
        <w:rPr>
          <w:rFonts w:hint="eastAsia" w:eastAsia="宋体"/>
          <w:b/>
          <w:bCs/>
          <w:lang w:val="en-US" w:eastAsia="zh-CN"/>
        </w:rPr>
        <w:t xml:space="preserve"> is supported</w:t>
      </w:r>
      <w:r>
        <w:rPr>
          <w:rFonts w:hint="eastAsia" w:eastAsia="宋体"/>
          <w:b/>
          <w:lang w:val="en-US"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ctrlPr>
              <w:rPr>
                <w:rFonts w:ascii="Cambria Math" w:hAnsi="Cambria Math"/>
                <w:b/>
                <w:i/>
              </w:rPr>
            </m:ctrlPr>
          </m:e>
          <m:sub>
            <m:r>
              <m:rPr>
                <m:sty m:val="bi"/>
              </m:rPr>
              <w:rPr>
                <w:rFonts w:ascii="Cambria Math" w:hAnsi="Cambria Math"/>
              </w:rPr>
              <m:t>s</m:t>
            </m:r>
            <m:ctrlPr>
              <w:rPr>
                <w:rFonts w:ascii="Cambria Math" w:hAnsi="Cambria Math"/>
                <w:b/>
                <w:i/>
              </w:rPr>
            </m:ctrlPr>
          </m:sub>
        </m:sSub>
      </m:oMath>
      <w:r>
        <w:rPr>
          <w:b/>
        </w:rPr>
        <w:t xml:space="preserve"> </w:t>
      </w:r>
      <w:r>
        <w:rPr>
          <w:rFonts w:hint="eastAsia" w:eastAsia="宋体"/>
          <w:b/>
          <w:lang w:val="en-US" w:eastAsia="zh-CN"/>
        </w:rPr>
        <w:t xml:space="preserve">and the duration </w:t>
      </w:r>
      <w:r>
        <w:rPr>
          <w:rFonts w:hint="eastAsia" w:eastAsia="宋体"/>
          <w:b/>
          <w:i/>
          <w:iCs/>
          <w:lang w:val="en-US" w:eastAsia="zh-CN"/>
        </w:rPr>
        <w:t>T</w:t>
      </w:r>
      <w:r>
        <w:rPr>
          <w:rFonts w:hint="eastAsia" w:eastAsia="宋体"/>
          <w:b/>
          <w:i/>
          <w:iCs/>
          <w:vertAlign w:val="subscript"/>
          <w:lang w:val="en-US" w:eastAsia="zh-CN"/>
        </w:rPr>
        <w:t>S</w:t>
      </w:r>
      <w:r>
        <w:rPr>
          <w:rFonts w:hint="eastAsia"/>
          <w:b/>
          <w:lang w:val="en-US" w:eastAsia="zh-CN"/>
        </w:rPr>
        <w:t xml:space="preserve"> of the </w:t>
      </w:r>
      <w:r>
        <w:rPr>
          <w:rFonts w:hint="eastAsia" w:eastAsia="宋体"/>
          <w:b/>
          <w:lang w:val="en-US" w:eastAsia="zh-CN"/>
        </w:rPr>
        <w:t xml:space="preserve">search space sets </w:t>
      </w:r>
      <w:r>
        <w:rPr>
          <w:rFonts w:hint="eastAsia"/>
          <w:b/>
          <w:lang w:val="en-US" w:eastAsia="zh-CN"/>
        </w:rPr>
        <w:t xml:space="preserve">should be configured as an integral multiple of a slot group. </w:t>
      </w:r>
      <w:r>
        <w:rPr>
          <w:rFonts w:hint="eastAsia"/>
          <w:b/>
          <w:bCs w:val="0"/>
          <w:lang w:val="en-US" w:eastAsia="zh-CN"/>
        </w:rPr>
        <w:t>Also, a</w:t>
      </w:r>
      <w:r>
        <w:rPr>
          <w:rFonts w:hint="eastAsia" w:eastAsia="宋体"/>
          <w:b/>
          <w:bCs w:val="0"/>
          <w:lang w:val="en-US" w:eastAsia="zh-CN"/>
        </w:rPr>
        <w:t xml:space="preserve"> new slot level bitmap needs to be introduced to indicate which slots have monitoring occasions.</w:t>
      </w:r>
      <w:r>
        <w:rPr>
          <w:rFonts w:hint="eastAsia"/>
          <w:b/>
          <w:bCs w:val="0"/>
          <w:lang w:val="en-US" w:eastAsia="zh-CN"/>
        </w:rPr>
        <w:t xml:space="preserve"> </w:t>
      </w:r>
    </w:p>
    <w:p>
      <w:pPr>
        <w:widowControl w:val="0"/>
        <w:spacing w:after="60" w:line="260" w:lineRule="auto"/>
        <w:jc w:val="both"/>
        <w:rPr>
          <w:rFonts w:eastAsia="宋体"/>
          <w:b/>
          <w:lang w:val="en-US" w:eastAsia="zh-CN"/>
        </w:rPr>
      </w:pPr>
      <w:r>
        <w:rPr>
          <w:rFonts w:hint="eastAsia" w:eastAsia="宋体"/>
          <w:b/>
          <w:lang w:val="en-US" w:eastAsia="zh-CN"/>
        </w:rPr>
        <w:t>Proposal 6: Support SSSG switching for SCS 120/480/960 kHz, and the following points can be further studied:</w:t>
      </w:r>
    </w:p>
    <w:p>
      <w:pPr>
        <w:numPr>
          <w:ilvl w:val="0"/>
          <w:numId w:val="16"/>
        </w:numPr>
        <w:spacing w:after="40" w:line="260" w:lineRule="auto"/>
        <w:ind w:left="1260"/>
        <w:jc w:val="both"/>
      </w:pPr>
      <w:r>
        <w:rPr>
          <w:rFonts w:hint="eastAsia" w:eastAsia="宋体"/>
          <w:b/>
          <w:lang w:val="en-US" w:eastAsia="zh-CN"/>
        </w:rPr>
        <w:t>SSSG switching between two different periodicities of multi-slot PDCCH monitoring or between multi-slot and per-slot monitoring if per-slot monitoring is supported for 480/960 kHz</w:t>
      </w:r>
    </w:p>
    <w:p>
      <w:pPr>
        <w:numPr>
          <w:ilvl w:val="0"/>
          <w:numId w:val="16"/>
        </w:numPr>
        <w:spacing w:line="260" w:lineRule="auto"/>
        <w:ind w:left="1259"/>
        <w:jc w:val="both"/>
      </w:pPr>
      <w:r>
        <w:rPr>
          <w:rFonts w:hint="eastAsia"/>
          <w:b/>
          <w:bCs/>
          <w:lang w:eastAsia="zh-CN"/>
        </w:rPr>
        <w:t>The switching time</w:t>
      </w:r>
      <w:r>
        <w:rPr>
          <w:rFonts w:hint="eastAsia"/>
          <w:b/>
          <w:bCs/>
          <w:lang w:val="en-US" w:eastAsia="zh-CN"/>
        </w:rPr>
        <w:t xml:space="preserve"> </w:t>
      </w:r>
      <m:oMath>
        <m:sSub>
          <m:sSubPr>
            <m:ctrlPr>
              <w:rPr>
                <w:rFonts w:ascii="Cambria Math" w:hAnsi="Cambria Math"/>
                <w:b/>
                <w:bCs/>
                <w:i/>
              </w:rPr>
            </m:ctrlPr>
          </m:sSubPr>
          <m:e>
            <m:r>
              <m:rPr>
                <m:sty m:val="bi"/>
              </m:rPr>
              <w:rPr>
                <w:rFonts w:ascii="Cambria Math" w:hAnsi="Cambria Math"/>
              </w:rPr>
              <m:t>P</m:t>
            </m:r>
            <m:ctrlPr>
              <w:rPr>
                <w:rFonts w:ascii="Cambria Math" w:hAnsi="Cambria Math"/>
                <w:b/>
                <w:bCs/>
                <w:i/>
              </w:rPr>
            </m:ctrlPr>
          </m:e>
          <m:sub>
            <m:r>
              <m:rPr>
                <m:sty m:val="bi"/>
              </m:rPr>
              <w:rPr>
                <w:rFonts w:ascii="Cambria Math" w:hAnsi="Cambria Math"/>
              </w:rPr>
              <m:t>switch</m:t>
            </m:r>
            <m:ctrlPr>
              <w:rPr>
                <w:rFonts w:ascii="Cambria Math" w:hAnsi="Cambria Math"/>
                <w:b/>
                <w:bCs/>
                <w:i/>
              </w:rPr>
            </m:ctrlPr>
          </m:sub>
        </m:sSub>
      </m:oMath>
      <w:r>
        <w:rPr>
          <w:b/>
          <w:bCs/>
        </w:rPr>
        <w:t xml:space="preserve"> </w:t>
      </w:r>
      <w:r>
        <w:rPr>
          <w:rFonts w:hint="eastAsia"/>
          <w:b/>
          <w:bCs/>
          <w:lang w:eastAsia="zh-CN"/>
        </w:rPr>
        <w:t xml:space="preserve"> with all SCSs supported in above 52.6 GHz</w:t>
      </w:r>
    </w:p>
    <w:p>
      <w:pPr>
        <w:numPr>
          <w:ilvl w:val="1"/>
          <w:numId w:val="0"/>
        </w:numPr>
        <w:tabs>
          <w:tab w:val="left" w:pos="450"/>
        </w:tabs>
        <w:snapToGrid w:val="0"/>
        <w:spacing w:after="240" w:line="260" w:lineRule="auto"/>
        <w:rPr>
          <w:rFonts w:hint="eastAsia" w:eastAsia="宋体"/>
          <w:b/>
          <w:bCs/>
          <w:lang w:val="en-US" w:eastAsia="zh-CN"/>
        </w:rPr>
      </w:pPr>
      <w:r>
        <w:rPr>
          <w:rFonts w:hint="eastAsia" w:eastAsia="宋体"/>
          <w:b/>
          <w:bCs/>
          <w:lang w:val="en-US" w:eastAsia="zh-CN"/>
        </w:rPr>
        <w:t>Proposal 7: For multi-slot PDCCH monitoring capability, the similar dropping rule as Rel-15 can be used.</w:t>
      </w:r>
    </w:p>
    <w:p>
      <w:pPr>
        <w:numPr>
          <w:ilvl w:val="0"/>
          <w:numId w:val="16"/>
        </w:numPr>
        <w:tabs>
          <w:tab w:val="left" w:pos="450"/>
        </w:tabs>
        <w:snapToGrid w:val="0"/>
        <w:spacing w:after="40" w:line="260" w:lineRule="auto"/>
        <w:ind w:left="1260"/>
        <w:jc w:val="both"/>
        <w:rPr>
          <w:rFonts w:hint="default" w:eastAsia="宋体"/>
          <w:b/>
          <w:bCs/>
          <w:lang w:val="en-US" w:eastAsia="zh-CN"/>
        </w:rPr>
      </w:pPr>
      <w:r>
        <w:rPr>
          <w:rFonts w:hint="eastAsia" w:eastAsia="宋体"/>
          <w:b/>
          <w:bCs/>
          <w:lang w:val="en-US" w:eastAsia="zh-CN"/>
        </w:rPr>
        <w:t>The SS set dropping rule is only allowed for PCell or PSCell</w:t>
      </w:r>
    </w:p>
    <w:p>
      <w:pPr>
        <w:numPr>
          <w:ilvl w:val="0"/>
          <w:numId w:val="16"/>
        </w:numPr>
        <w:tabs>
          <w:tab w:val="left" w:pos="450"/>
        </w:tabs>
        <w:snapToGrid w:val="0"/>
        <w:spacing w:after="40" w:line="260" w:lineRule="auto"/>
        <w:ind w:left="1260"/>
        <w:jc w:val="both"/>
        <w:rPr>
          <w:rFonts w:hint="eastAsia" w:eastAsia="宋体"/>
          <w:b/>
          <w:bCs/>
          <w:lang w:val="en-US" w:eastAsia="zh-CN"/>
        </w:rPr>
      </w:pPr>
      <w:r>
        <w:rPr>
          <w:rFonts w:hint="eastAsia" w:eastAsia="宋体"/>
          <w:b/>
          <w:bCs/>
          <w:lang w:val="en-US" w:eastAsia="zh-CN"/>
        </w:rPr>
        <w:t>The gNB should guarantee that the configured CSS sets do not exceed a UE</w:t>
      </w:r>
      <w:r>
        <w:rPr>
          <w:rFonts w:hint="default" w:eastAsia="宋体"/>
          <w:b/>
          <w:bCs/>
          <w:lang w:val="en-US" w:eastAsia="zh-CN"/>
        </w:rPr>
        <w:t>’</w:t>
      </w:r>
      <w:r>
        <w:rPr>
          <w:rFonts w:hint="eastAsia" w:eastAsia="宋体"/>
          <w:b/>
          <w:bCs/>
          <w:lang w:val="en-US" w:eastAsia="zh-CN"/>
        </w:rPr>
        <w:t>s capability</w:t>
      </w:r>
    </w:p>
    <w:p>
      <w:pPr>
        <w:numPr>
          <w:ilvl w:val="0"/>
          <w:numId w:val="16"/>
        </w:numPr>
        <w:tabs>
          <w:tab w:val="left" w:pos="450"/>
        </w:tabs>
        <w:snapToGrid w:val="0"/>
        <w:spacing w:after="180" w:line="260" w:lineRule="auto"/>
        <w:ind w:left="1259" w:hanging="420"/>
        <w:jc w:val="both"/>
        <w:rPr>
          <w:rFonts w:hint="eastAsia" w:eastAsia="宋体"/>
          <w:b/>
          <w:lang w:val="en-US" w:eastAsia="zh-CN"/>
        </w:rPr>
      </w:pPr>
      <w:r>
        <w:rPr>
          <w:rFonts w:hint="eastAsia" w:eastAsia="宋体"/>
          <w:b/>
          <w:bCs/>
          <w:lang w:val="en-US" w:eastAsia="zh-CN"/>
        </w:rPr>
        <w:t>The whole USS set in multiple slots with higher SS set index is dropped when overbooking happens.</w:t>
      </w:r>
    </w:p>
    <w:p>
      <w:pPr>
        <w:spacing w:before="0" w:after="180" w:line="260" w:lineRule="auto"/>
        <w:jc w:val="both"/>
        <w:rPr>
          <w:rFonts w:hint="eastAsia" w:eastAsia="宋体"/>
          <w:b/>
          <w:lang w:val="en-US" w:eastAsia="zh-CN"/>
        </w:rPr>
      </w:pPr>
      <w:r>
        <w:rPr>
          <w:rFonts w:hint="eastAsia" w:eastAsia="宋体"/>
          <w:b/>
          <w:bCs/>
          <w:lang w:val="en-US" w:eastAsia="zh-CN"/>
        </w:rPr>
        <w:t xml:space="preserve">Proposal 8: </w:t>
      </w:r>
      <w:r>
        <w:rPr>
          <w:b/>
          <w:bCs/>
          <w:lang w:val="en-GB"/>
        </w:rPr>
        <w:t>Cross-carrier scheduling of a cell within 52.6-71 GHz</w:t>
      </w:r>
      <w:r>
        <w:rPr>
          <w:rFonts w:hint="eastAsia" w:eastAsia="宋体"/>
          <w:b/>
          <w:bCs/>
          <w:lang w:val="en-US" w:eastAsia="zh-CN"/>
        </w:rPr>
        <w:t xml:space="preserve"> band</w:t>
      </w:r>
      <w:r>
        <w:rPr>
          <w:b/>
          <w:bCs/>
          <w:lang w:val="en-GB"/>
        </w:rPr>
        <w:t xml:space="preserve"> from/to a cell </w:t>
      </w:r>
      <w:r>
        <w:rPr>
          <w:rFonts w:hint="eastAsia" w:eastAsia="宋体"/>
          <w:b/>
          <w:bCs/>
          <w:lang w:val="en-US" w:eastAsia="zh-CN"/>
        </w:rPr>
        <w:t>within FR1/FR2</w:t>
      </w:r>
      <w:r>
        <w:rPr>
          <w:b/>
          <w:bCs/>
          <w:lang w:val="en-GB"/>
        </w:rPr>
        <w:t xml:space="preserve">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k</w:t>
      </w:r>
      <w:r>
        <w:rPr>
          <w:rFonts w:hint="eastAsia" w:eastAsia="宋体"/>
          <w:b/>
          <w:bCs/>
          <w:lang w:val="en-US" w:eastAsia="zh-CN"/>
        </w:rPr>
        <w:t xml:space="preserve"> and k </w:t>
      </w:r>
      <w:r>
        <w:rPr>
          <w:rFonts w:hint="default" w:ascii="Arial" w:hAnsi="Arial" w:eastAsia="宋体" w:cs="Arial"/>
          <w:b/>
          <w:bCs/>
          <w:lang w:val="en-US" w:eastAsia="zh-CN"/>
        </w:rPr>
        <w:t>≥</w:t>
      </w:r>
      <w:r>
        <w:rPr>
          <w:rFonts w:hint="eastAsia" w:eastAsia="宋体"/>
          <w:b/>
          <w:bCs/>
          <w:lang w:val="en-US" w:eastAsia="zh-CN"/>
        </w:rPr>
        <w:t xml:space="preserve"> 4</w:t>
      </w:r>
      <w:r>
        <w:rPr>
          <w:b/>
          <w:bCs/>
          <w:lang w:val="en-GB"/>
        </w:rPr>
        <w:t>..</w:t>
      </w:r>
    </w:p>
    <w:p>
      <w:pPr>
        <w:spacing w:after="180" w:line="260" w:lineRule="auto"/>
        <w:jc w:val="both"/>
        <w:rPr>
          <w:rFonts w:hint="eastAsia" w:eastAsia="宋体"/>
          <w:b/>
          <w:lang w:val="en-US" w:eastAsia="zh-CN"/>
        </w:rPr>
      </w:pPr>
      <w:r>
        <w:rPr>
          <w:rFonts w:hint="eastAsia" w:eastAsia="宋体"/>
          <w:b/>
          <w:lang w:val="en-US" w:eastAsia="zh-CN"/>
        </w:rPr>
        <w:t xml:space="preserve">Proposal 9: The values of </w:t>
      </w:r>
      <w:r>
        <w:rPr>
          <w:b/>
          <w:i/>
          <w:lang w:val="en-AU"/>
        </w:rPr>
        <w:t>µ</w:t>
      </w:r>
      <w:r>
        <w:rPr>
          <w:b/>
          <w:i/>
          <w:vertAlign w:val="subscript"/>
          <w:lang w:val="en-AU"/>
        </w:rPr>
        <w:t>PDCCH</w:t>
      </w:r>
      <w:r>
        <w:rPr>
          <w:rFonts w:hint="eastAsia" w:eastAsia="宋体"/>
          <w:b/>
          <w:i/>
          <w:vertAlign w:val="subscript"/>
          <w:lang w:val="en-US" w:eastAsia="zh-CN"/>
        </w:rPr>
        <w:t xml:space="preserve"> </w:t>
      </w:r>
      <w:r>
        <w:rPr>
          <w:rFonts w:hint="eastAsia" w:eastAsia="宋体"/>
          <w:b/>
          <w:lang w:val="en-US" w:eastAsia="zh-CN"/>
        </w:rPr>
        <w:t xml:space="preserve">with </w:t>
      </w:r>
      <w:r>
        <w:rPr>
          <w:rFonts w:hint="eastAsia"/>
          <w:b/>
          <w:lang w:val="en-US" w:eastAsia="ko-KR"/>
        </w:rPr>
        <w:t>480/960</w:t>
      </w:r>
      <w:r>
        <w:rPr>
          <w:rFonts w:hint="eastAsia" w:eastAsia="宋体"/>
          <w:b/>
          <w:lang w:val="en-US" w:eastAsia="zh-CN"/>
        </w:rPr>
        <w:t>kHz</w:t>
      </w:r>
      <w:r>
        <w:rPr>
          <w:rFonts w:hint="eastAsia"/>
          <w:b/>
          <w:lang w:val="en-US" w:eastAsia="ko-KR"/>
        </w:rPr>
        <w:t xml:space="preserve"> </w:t>
      </w:r>
      <w:r>
        <w:rPr>
          <w:rFonts w:hint="eastAsia" w:eastAsia="宋体"/>
          <w:b/>
          <w:lang w:val="en-US" w:eastAsia="zh-CN"/>
        </w:rPr>
        <w:t xml:space="preserve">SCS for </w:t>
      </w:r>
      <w:r>
        <w:rPr>
          <w:rFonts w:hint="eastAsia"/>
          <w:b/>
          <w:lang w:val="en-US" w:eastAsia="ko-KR"/>
        </w:rPr>
        <w:t xml:space="preserve">minimum PDSCH scheduling delay and minimum </w:t>
      </w:r>
      <w:r>
        <w:rPr>
          <w:rFonts w:hint="eastAsia" w:eastAsia="宋体"/>
          <w:b/>
          <w:lang w:val="en-US" w:eastAsia="zh-CN"/>
        </w:rPr>
        <w:t>A</w:t>
      </w:r>
      <w:r>
        <w:rPr>
          <w:rFonts w:hint="eastAsia"/>
          <w:b/>
          <w:lang w:val="en-US" w:eastAsia="ko-KR"/>
        </w:rPr>
        <w:t>-</w:t>
      </w:r>
      <w:r>
        <w:rPr>
          <w:rFonts w:hint="eastAsia" w:eastAsia="宋体"/>
          <w:b/>
          <w:lang w:val="en-US" w:eastAsia="zh-CN"/>
        </w:rPr>
        <w:t>CSI-</w:t>
      </w:r>
      <w:r>
        <w:rPr>
          <w:rFonts w:hint="eastAsia"/>
          <w:b/>
          <w:lang w:val="en-US" w:eastAsia="ko-KR"/>
        </w:rPr>
        <w:t>RS trigger delay</w:t>
      </w:r>
      <w:r>
        <w:rPr>
          <w:rFonts w:hint="eastAsia" w:eastAsia="宋体"/>
          <w:b/>
          <w:lang w:val="en-US" w:eastAsia="zh-CN"/>
        </w:rPr>
        <w:t xml:space="preserve"> should be determined.</w:t>
      </w:r>
    </w:p>
    <w:p>
      <w:pPr>
        <w:spacing w:after="0" w:line="260" w:lineRule="auto"/>
        <w:jc w:val="left"/>
        <w:rPr>
          <w:rFonts w:hint="eastAsia" w:eastAsia="宋体"/>
          <w:b/>
          <w:lang w:val="en-US" w:eastAsia="ja-JP"/>
        </w:rPr>
      </w:pPr>
      <w:r>
        <w:rPr>
          <w:rFonts w:hint="eastAsia" w:eastAsia="宋体"/>
          <w:b/>
          <w:bCs/>
          <w:lang w:val="en-US" w:eastAsia="zh-CN"/>
        </w:rPr>
        <w:t>Proposal 10: C</w:t>
      </w:r>
      <w:r>
        <w:rPr>
          <w:rFonts w:hint="eastAsia"/>
          <w:b/>
          <w:bCs/>
          <w:lang w:val="en-US" w:eastAsia="zh-CN"/>
        </w:rPr>
        <w:t xml:space="preserve">onsidering a duration of more than 3 OFDM symbols for PDCCH with </w:t>
      </w:r>
      <w:r>
        <w:rPr>
          <w:rFonts w:hint="default"/>
          <w:b/>
          <w:bCs/>
          <w:lang w:val="en-US" w:eastAsia="zh-CN"/>
        </w:rPr>
        <w:t>480/960 kHz</w:t>
      </w:r>
      <w:r>
        <w:rPr>
          <w:rFonts w:hint="eastAsia"/>
          <w:b/>
          <w:bCs/>
          <w:lang w:val="en-US" w:eastAsia="zh-CN"/>
        </w:rPr>
        <w:t xml:space="preserve"> SCS </w:t>
      </w:r>
      <w:r>
        <w:rPr>
          <w:rFonts w:hint="default"/>
          <w:b/>
          <w:bCs/>
          <w:lang w:val="en-US" w:eastAsia="zh-CN"/>
        </w:rPr>
        <w:t>in Rel-17 NR above 52.6 GHz</w:t>
      </w:r>
      <w:r>
        <w:rPr>
          <w:rFonts w:hint="eastAsia"/>
          <w:b/>
          <w:bCs/>
          <w:lang w:val="en-US" w:eastAsia="zh-CN"/>
        </w:rPr>
        <w:t>.</w:t>
      </w:r>
    </w:p>
    <w:bookmarkEnd w:id="0"/>
    <w:bookmarkEnd w:id="1"/>
    <w:bookmarkEnd w:id="2"/>
    <w:bookmarkEnd w:id="3"/>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bookmarkEnd w:id="4"/>
    <w:p>
      <w:pPr>
        <w:widowControl w:val="0"/>
        <w:numPr>
          <w:ilvl w:val="0"/>
          <w:numId w:val="17"/>
        </w:numPr>
        <w:autoSpaceDE w:val="0"/>
        <w:autoSpaceDN w:val="0"/>
        <w:adjustRightInd w:val="0"/>
        <w:spacing w:after="72" w:afterLines="30" w:line="240" w:lineRule="auto"/>
        <w:jc w:val="both"/>
        <w:rPr>
          <w:lang w:val="en-US" w:eastAsia="zh-CN"/>
        </w:rPr>
      </w:pPr>
      <w:r>
        <w:rPr>
          <w:lang w:val="en-US" w:eastAsia="zh-CN"/>
        </w:rPr>
        <w:t xml:space="preserve">RP-193259, New SID: Study on supporting NR from 52.6GHz to 71GHz. Intel, Sitges, Spain, RAN#86, December 9 – 12, 2019 </w:t>
      </w:r>
    </w:p>
    <w:p>
      <w:pPr>
        <w:widowControl w:val="0"/>
        <w:numPr>
          <w:ilvl w:val="0"/>
          <w:numId w:val="17"/>
        </w:numPr>
        <w:autoSpaceDE w:val="0"/>
        <w:autoSpaceDN w:val="0"/>
        <w:adjustRightInd w:val="0"/>
        <w:spacing w:after="72" w:afterLines="30" w:line="240" w:lineRule="auto"/>
        <w:jc w:val="both"/>
        <w:rPr>
          <w:bCs/>
        </w:rPr>
      </w:pPr>
      <w:r>
        <w:rPr>
          <w:bCs/>
        </w:rPr>
        <w:t>RP-210862</w:t>
      </w:r>
      <w:r>
        <w:rPr>
          <w:rFonts w:hint="eastAsia"/>
          <w:bCs/>
          <w:lang w:val="en-US" w:eastAsia="zh-CN"/>
        </w:rPr>
        <w:t xml:space="preserve">, </w:t>
      </w:r>
      <w:r>
        <w:rPr>
          <w:rFonts w:ascii="Times" w:cs="Times"/>
          <w:bCs/>
          <w:color w:val="000000"/>
        </w:rPr>
        <w:t>Revised WID</w:t>
      </w:r>
      <w:r>
        <w:rPr>
          <w:rFonts w:hint="eastAsia" w:ascii="Times" w:eastAsia="宋体" w:cs="Times"/>
          <w:bCs/>
          <w:color w:val="000000"/>
          <w:lang w:val="en-US" w:eastAsia="zh-CN"/>
        </w:rPr>
        <w:t>:</w:t>
      </w:r>
      <w:r>
        <w:rPr>
          <w:rFonts w:ascii="Times" w:cs="Times"/>
          <w:bCs/>
          <w:color w:val="000000"/>
        </w:rPr>
        <w:t xml:space="preserve"> Extending current NR operation to 71</w:t>
      </w:r>
      <w:r>
        <w:rPr>
          <w:rFonts w:hint="eastAsia" w:ascii="Times" w:eastAsia="宋体" w:cs="Times"/>
          <w:bCs/>
          <w:color w:val="000000"/>
          <w:lang w:val="en-US" w:eastAsia="zh-CN"/>
        </w:rPr>
        <w:t xml:space="preserve"> </w:t>
      </w:r>
      <w:r>
        <w:rPr>
          <w:rFonts w:ascii="Times" w:cs="Times"/>
          <w:bCs/>
          <w:color w:val="000000"/>
        </w:rPr>
        <w:t>GHz</w:t>
      </w:r>
      <w:r>
        <w:rPr>
          <w:rFonts w:hint="eastAsia" w:ascii="Times" w:cs="Times"/>
          <w:bCs/>
          <w:color w:val="000000"/>
          <w:lang w:val="en-US" w:eastAsia="zh-CN"/>
        </w:rPr>
        <w:t xml:space="preserve">, </w:t>
      </w:r>
      <w:r>
        <w:rPr>
          <w:bCs/>
          <w:color w:val="000000"/>
        </w:rPr>
        <w:t>CMCC</w:t>
      </w:r>
      <w:r>
        <w:rPr>
          <w:rFonts w:hint="eastAsia"/>
          <w:bCs/>
          <w:color w:val="000000"/>
          <w:lang w:val="en-US" w:eastAsia="zh-CN"/>
        </w:rPr>
        <w:t xml:space="preserve">, </w:t>
      </w:r>
      <w:r>
        <w:rPr>
          <w:rFonts w:hint="eastAsia"/>
          <w:lang w:val="en-US" w:eastAsia="zh-CN"/>
        </w:rPr>
        <w:t xml:space="preserve">3GPP TSG </w:t>
      </w:r>
      <w:r>
        <w:rPr>
          <w:rFonts w:hint="eastAsia"/>
          <w:bCs/>
          <w:color w:val="000000"/>
          <w:lang w:val="en-US" w:eastAsia="zh-CN"/>
        </w:rPr>
        <w:t>RAN Meeting #91-e, 16 - 26 March 2021</w:t>
      </w:r>
    </w:p>
    <w:p>
      <w:pPr>
        <w:widowControl w:val="0"/>
        <w:numPr>
          <w:ilvl w:val="0"/>
          <w:numId w:val="17"/>
        </w:numPr>
        <w:autoSpaceDE w:val="0"/>
        <w:autoSpaceDN w:val="0"/>
        <w:adjustRightInd w:val="0"/>
        <w:spacing w:after="72" w:afterLines="30" w:line="240" w:lineRule="auto"/>
        <w:jc w:val="both"/>
      </w:pPr>
      <w:r>
        <w:t>RAN1 #10</w:t>
      </w:r>
      <w:r>
        <w:rPr>
          <w:rFonts w:hint="eastAsia" w:eastAsia="宋体"/>
          <w:lang w:val="en-US" w:eastAsia="zh-CN"/>
        </w:rPr>
        <w:t>6bis-</w:t>
      </w:r>
      <w:r>
        <w:t>e chairman’s notes</w:t>
      </w:r>
    </w:p>
    <w:p>
      <w:pPr>
        <w:widowControl w:val="0"/>
        <w:numPr>
          <w:ilvl w:val="0"/>
          <w:numId w:val="17"/>
        </w:numPr>
        <w:autoSpaceDE w:val="0"/>
        <w:autoSpaceDN w:val="0"/>
        <w:adjustRightInd w:val="0"/>
        <w:spacing w:after="72" w:afterLines="30" w:line="240" w:lineRule="auto"/>
        <w:jc w:val="both"/>
      </w:pPr>
      <w:r>
        <w:rPr>
          <w:rFonts w:hint="eastAsia" w:eastAsia="宋体"/>
          <w:bCs/>
          <w:lang w:val="en-US" w:eastAsia="zh-CN"/>
        </w:rPr>
        <w:t>R</w:t>
      </w:r>
      <w:r>
        <w:rPr>
          <w:bCs/>
        </w:rPr>
        <w:t>1-21</w:t>
      </w:r>
      <w:r>
        <w:rPr>
          <w:rFonts w:hint="eastAsia" w:eastAsia="宋体"/>
          <w:bCs/>
          <w:lang w:val="en-US" w:eastAsia="zh-CN"/>
        </w:rPr>
        <w:t>10582</w:t>
      </w:r>
      <w:r>
        <w:rPr>
          <w:bCs/>
          <w:lang w:val="en-US" w:eastAsia="zh-CN"/>
        </w:rPr>
        <w:t xml:space="preserve">, </w:t>
      </w:r>
      <w:r>
        <w:rPr>
          <w:bCs/>
        </w:rPr>
        <w:t>Feature lead summary #</w:t>
      </w:r>
      <w:r>
        <w:rPr>
          <w:rFonts w:hint="eastAsia" w:eastAsia="宋体"/>
          <w:bCs/>
          <w:lang w:val="en-US" w:eastAsia="zh-CN"/>
        </w:rPr>
        <w:t>4</w:t>
      </w:r>
      <w:r>
        <w:rPr>
          <w:bCs/>
        </w:rPr>
        <w:t xml:space="preserve"> for</w:t>
      </w:r>
      <w:r>
        <w:rPr>
          <w:rFonts w:hint="eastAsia" w:eastAsia="宋体"/>
          <w:bCs/>
          <w:lang w:val="en-US" w:eastAsia="zh-CN"/>
        </w:rPr>
        <w:t xml:space="preserve"> B52.6 GHz</w:t>
      </w:r>
      <w:r>
        <w:rPr>
          <w:bCs/>
        </w:rPr>
        <w:t xml:space="preserve"> PDCCH Monitoring Enhancements</w:t>
      </w:r>
    </w:p>
    <w:p>
      <w:pPr>
        <w:widowControl w:val="0"/>
        <w:numPr>
          <w:ilvl w:val="0"/>
          <w:numId w:val="17"/>
        </w:numPr>
        <w:autoSpaceDE w:val="0"/>
        <w:autoSpaceDN w:val="0"/>
        <w:adjustRightInd w:val="0"/>
        <w:spacing w:after="72" w:afterLines="30" w:line="240" w:lineRule="auto"/>
        <w:jc w:val="both"/>
        <w:rPr>
          <w:rFonts w:hint="default"/>
          <w:lang w:val="en-US" w:eastAsia="zh-CN"/>
        </w:rPr>
      </w:pPr>
      <w:r>
        <w:rPr>
          <w:rFonts w:hint="default"/>
          <w:bCs/>
          <w:lang w:val="en-US" w:eastAsia="zh-CN"/>
        </w:rPr>
        <w:t xml:space="preserve">RP-212637, </w:t>
      </w:r>
      <w:r>
        <w:rPr>
          <w:rFonts w:ascii="Times New Roman" w:cs="Times New Roman"/>
          <w:bCs/>
        </w:rPr>
        <w:t>Revised WID</w:t>
      </w:r>
      <w:r>
        <w:rPr>
          <w:rFonts w:hint="default" w:ascii="Times New Roman" w:eastAsia="Times New Roman" w:cs="Times New Roman"/>
          <w:bCs/>
          <w:lang w:val="en-US" w:eastAsia="zh-CN"/>
        </w:rPr>
        <w:t>:</w:t>
      </w:r>
      <w:r>
        <w:rPr>
          <w:rFonts w:ascii="Times New Roman" w:cs="Times New Roman"/>
          <w:bCs/>
        </w:rPr>
        <w:t xml:space="preserve"> Extending current NR operation to 71</w:t>
      </w:r>
      <w:r>
        <w:rPr>
          <w:rFonts w:hint="default" w:ascii="Times New Roman" w:eastAsia="Times New Roman" w:cs="Times New Roman"/>
          <w:bCs/>
          <w:lang w:val="en-US" w:eastAsia="zh-CN"/>
        </w:rPr>
        <w:t xml:space="preserve"> </w:t>
      </w:r>
      <w:r>
        <w:rPr>
          <w:rFonts w:ascii="Times New Roman" w:cs="Times New Roman"/>
          <w:bCs/>
        </w:rPr>
        <w:t>GHz</w:t>
      </w:r>
      <w:r>
        <w:rPr>
          <w:rFonts w:hint="default" w:ascii="Times New Roman" w:cs="Times New Roman"/>
          <w:bCs/>
          <w:lang w:val="en-US" w:eastAsia="zh-CN"/>
        </w:rPr>
        <w:t xml:space="preserve">, </w:t>
      </w:r>
      <w:r>
        <w:rPr>
          <w:rFonts w:hint="default" w:eastAsia="Times New Roman"/>
          <w:bCs/>
          <w:lang w:val="en-US" w:eastAsia="zh-CN"/>
        </w:rPr>
        <w:t>Qualcomn, Intel</w:t>
      </w:r>
      <w:r>
        <w:rPr>
          <w:rFonts w:hint="default"/>
          <w:bCs/>
          <w:lang w:val="en-US" w:eastAsia="zh-CN"/>
        </w:rPr>
        <w:t>, 3GPP TSG RAN Meeting #93-e, 13 - 17 September 2021</w:t>
      </w: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7</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E7E7DD"/>
    <w:multiLevelType w:val="singleLevel"/>
    <w:tmpl w:val="83E7E7DD"/>
    <w:lvl w:ilvl="0" w:tentative="0">
      <w:start w:val="1"/>
      <w:numFmt w:val="bullet"/>
      <w:lvlText w:val=""/>
      <w:lvlJc w:val="left"/>
      <w:pPr>
        <w:ind w:left="420" w:leftChars="0" w:hanging="420" w:firstLineChars="0"/>
      </w:pPr>
      <w:rPr>
        <w:rFonts w:hint="default" w:ascii="Wingdings" w:hAnsi="Wingdings" w:cs="Wingdings"/>
      </w:rPr>
    </w:lvl>
  </w:abstractNum>
  <w:abstractNum w:abstractNumId="1">
    <w:nsid w:val="C6F243D9"/>
    <w:multiLevelType w:val="singleLevel"/>
    <w:tmpl w:val="C6F243D9"/>
    <w:lvl w:ilvl="0" w:tentative="0">
      <w:start w:val="1"/>
      <w:numFmt w:val="bullet"/>
      <w:lvlText w:val="◦"/>
      <w:lvlJc w:val="left"/>
      <w:pPr>
        <w:ind w:left="420" w:hanging="420"/>
      </w:pPr>
      <w:rPr>
        <w:rFonts w:hint="default" w:ascii="微软雅黑" w:hAnsi="微软雅黑" w:eastAsia="微软雅黑" w:cs="微软雅黑"/>
      </w:rPr>
    </w:lvl>
  </w:abstractNum>
  <w:abstractNum w:abstractNumId="2">
    <w:nsid w:val="D3AEB1AA"/>
    <w:multiLevelType w:val="singleLevel"/>
    <w:tmpl w:val="D3AEB1AA"/>
    <w:lvl w:ilvl="0" w:tentative="0">
      <w:start w:val="1"/>
      <w:numFmt w:val="bullet"/>
      <w:lvlText w:val=""/>
      <w:lvlJc w:val="left"/>
      <w:pPr>
        <w:ind w:left="420" w:hanging="420"/>
      </w:pPr>
      <w:rPr>
        <w:rFonts w:hint="default" w:ascii="Wingdings" w:hAnsi="Wingdings"/>
      </w:rPr>
    </w:lvl>
  </w:abstractNum>
  <w:abstractNum w:abstractNumId="3">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9">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B503A4A"/>
    <w:multiLevelType w:val="multilevel"/>
    <w:tmpl w:val="6B503A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FA0B93"/>
    <w:multiLevelType w:val="multilevel"/>
    <w:tmpl w:val="7BFA0B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8"/>
  </w:num>
  <w:num w:numId="3">
    <w:abstractNumId w:val="12"/>
  </w:num>
  <w:num w:numId="4">
    <w:abstractNumId w:val="15"/>
  </w:num>
  <w:num w:numId="5">
    <w:abstractNumId w:val="6"/>
  </w:num>
  <w:num w:numId="6">
    <w:abstractNumId w:val="9"/>
  </w:num>
  <w:num w:numId="7">
    <w:abstractNumId w:val="7"/>
  </w:num>
  <w:num w:numId="8">
    <w:abstractNumId w:val="3"/>
  </w:num>
  <w:num w:numId="9">
    <w:abstractNumId w:val="13"/>
  </w:num>
  <w:num w:numId="10">
    <w:abstractNumId w:val="4"/>
  </w:num>
  <w:num w:numId="11">
    <w:abstractNumId w:val="10"/>
  </w:num>
  <w:num w:numId="12">
    <w:abstractNumId w:val="16"/>
  </w:num>
  <w:num w:numId="13">
    <w:abstractNumId w:val="0"/>
  </w:num>
  <w:num w:numId="14">
    <w:abstractNumId w:val="2"/>
  </w:num>
  <w:num w:numId="15">
    <w:abstractNumId w:val="11"/>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4CF"/>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BC9"/>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AA"/>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0D"/>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90"/>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2EF"/>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343"/>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4EDF"/>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075"/>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6FC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4B41"/>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0FF8"/>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AF7DF7"/>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6E5"/>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CD"/>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09A"/>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37"/>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6F0C"/>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3F0C"/>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CFD"/>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2F"/>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7C5"/>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0A84"/>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0B14F5"/>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EE1FA3"/>
    <w:rsid w:val="01F0730D"/>
    <w:rsid w:val="01F37778"/>
    <w:rsid w:val="01FC6829"/>
    <w:rsid w:val="02016BC8"/>
    <w:rsid w:val="02052204"/>
    <w:rsid w:val="0218641B"/>
    <w:rsid w:val="02351B15"/>
    <w:rsid w:val="023D68E9"/>
    <w:rsid w:val="024D11F3"/>
    <w:rsid w:val="02567B4A"/>
    <w:rsid w:val="025A2B48"/>
    <w:rsid w:val="025B6E07"/>
    <w:rsid w:val="02622CBC"/>
    <w:rsid w:val="026E3A52"/>
    <w:rsid w:val="02784531"/>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60AE6"/>
    <w:rsid w:val="030C5E59"/>
    <w:rsid w:val="03127134"/>
    <w:rsid w:val="03131BEB"/>
    <w:rsid w:val="03180265"/>
    <w:rsid w:val="031923E9"/>
    <w:rsid w:val="031E7C2A"/>
    <w:rsid w:val="03244425"/>
    <w:rsid w:val="032F2781"/>
    <w:rsid w:val="03335414"/>
    <w:rsid w:val="03380EE2"/>
    <w:rsid w:val="034800C3"/>
    <w:rsid w:val="036452B0"/>
    <w:rsid w:val="0365180A"/>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D645E"/>
    <w:rsid w:val="066F17E0"/>
    <w:rsid w:val="067A3DAD"/>
    <w:rsid w:val="0686332F"/>
    <w:rsid w:val="06864253"/>
    <w:rsid w:val="06A159E1"/>
    <w:rsid w:val="06A43D59"/>
    <w:rsid w:val="06A54B41"/>
    <w:rsid w:val="06AB43A3"/>
    <w:rsid w:val="06BC0D78"/>
    <w:rsid w:val="06C074EB"/>
    <w:rsid w:val="06C1240E"/>
    <w:rsid w:val="06C46BF4"/>
    <w:rsid w:val="06CB725E"/>
    <w:rsid w:val="06E1290F"/>
    <w:rsid w:val="06F76AE6"/>
    <w:rsid w:val="07015EFA"/>
    <w:rsid w:val="0707006E"/>
    <w:rsid w:val="070B2CE3"/>
    <w:rsid w:val="070B663F"/>
    <w:rsid w:val="072922C5"/>
    <w:rsid w:val="072F6CF4"/>
    <w:rsid w:val="0734615D"/>
    <w:rsid w:val="07350C6A"/>
    <w:rsid w:val="0735734E"/>
    <w:rsid w:val="07377DDC"/>
    <w:rsid w:val="07386D83"/>
    <w:rsid w:val="073B19BC"/>
    <w:rsid w:val="074A4044"/>
    <w:rsid w:val="074B35A5"/>
    <w:rsid w:val="07826DCD"/>
    <w:rsid w:val="07846AF4"/>
    <w:rsid w:val="07871DCC"/>
    <w:rsid w:val="078B07F9"/>
    <w:rsid w:val="078B5215"/>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32F8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5F2398"/>
    <w:rsid w:val="09736BC3"/>
    <w:rsid w:val="0974287E"/>
    <w:rsid w:val="098012A2"/>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75DCF"/>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B68BA"/>
    <w:rsid w:val="0A8D2821"/>
    <w:rsid w:val="0AA061D5"/>
    <w:rsid w:val="0AAC726A"/>
    <w:rsid w:val="0AB92161"/>
    <w:rsid w:val="0ABB44F9"/>
    <w:rsid w:val="0AC139E2"/>
    <w:rsid w:val="0AC563E4"/>
    <w:rsid w:val="0AC65B07"/>
    <w:rsid w:val="0AC716D4"/>
    <w:rsid w:val="0ADC3BA7"/>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C77165"/>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7E1A50"/>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505E9"/>
    <w:rsid w:val="0D727EA8"/>
    <w:rsid w:val="0D7946EA"/>
    <w:rsid w:val="0D834A5C"/>
    <w:rsid w:val="0D893EB2"/>
    <w:rsid w:val="0D8C4BC2"/>
    <w:rsid w:val="0D9C16DD"/>
    <w:rsid w:val="0D9C33BC"/>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9D3185"/>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617E9F"/>
    <w:rsid w:val="0F716578"/>
    <w:rsid w:val="0F753AEF"/>
    <w:rsid w:val="0F8D0B4E"/>
    <w:rsid w:val="0F8F102F"/>
    <w:rsid w:val="0FA470F8"/>
    <w:rsid w:val="0FB5088D"/>
    <w:rsid w:val="0FB97767"/>
    <w:rsid w:val="0FBF1A56"/>
    <w:rsid w:val="0FBF3418"/>
    <w:rsid w:val="0FC46A56"/>
    <w:rsid w:val="0FC57BB8"/>
    <w:rsid w:val="0FD6188A"/>
    <w:rsid w:val="0FD8292B"/>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87138"/>
    <w:rsid w:val="10BF2E44"/>
    <w:rsid w:val="10D00203"/>
    <w:rsid w:val="10D32F67"/>
    <w:rsid w:val="10D54519"/>
    <w:rsid w:val="10D57474"/>
    <w:rsid w:val="10DC0B31"/>
    <w:rsid w:val="10E91A4C"/>
    <w:rsid w:val="10ED7F30"/>
    <w:rsid w:val="10F74BB7"/>
    <w:rsid w:val="10F87453"/>
    <w:rsid w:val="10FF2F5F"/>
    <w:rsid w:val="11083C1F"/>
    <w:rsid w:val="11163D3E"/>
    <w:rsid w:val="11272C1C"/>
    <w:rsid w:val="112F01F3"/>
    <w:rsid w:val="11362E5F"/>
    <w:rsid w:val="113F6847"/>
    <w:rsid w:val="11477748"/>
    <w:rsid w:val="11573160"/>
    <w:rsid w:val="116327EE"/>
    <w:rsid w:val="116739ED"/>
    <w:rsid w:val="117C5B35"/>
    <w:rsid w:val="11945699"/>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1FD5AD9"/>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9E4B3B"/>
    <w:rsid w:val="13A30FC3"/>
    <w:rsid w:val="13A31406"/>
    <w:rsid w:val="13A90461"/>
    <w:rsid w:val="13BF1D88"/>
    <w:rsid w:val="13C94CE2"/>
    <w:rsid w:val="13D47C68"/>
    <w:rsid w:val="13DE3682"/>
    <w:rsid w:val="13E44672"/>
    <w:rsid w:val="13EB3632"/>
    <w:rsid w:val="13ED26CD"/>
    <w:rsid w:val="14237882"/>
    <w:rsid w:val="143E1552"/>
    <w:rsid w:val="143F6AFF"/>
    <w:rsid w:val="14636334"/>
    <w:rsid w:val="146B0173"/>
    <w:rsid w:val="14870828"/>
    <w:rsid w:val="14920E25"/>
    <w:rsid w:val="1498573C"/>
    <w:rsid w:val="14991CB0"/>
    <w:rsid w:val="14A1759C"/>
    <w:rsid w:val="14B204D7"/>
    <w:rsid w:val="14B75A7E"/>
    <w:rsid w:val="14C155EF"/>
    <w:rsid w:val="14C82B34"/>
    <w:rsid w:val="14D55947"/>
    <w:rsid w:val="14E04496"/>
    <w:rsid w:val="14E33F78"/>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40CE3"/>
    <w:rsid w:val="156B69AA"/>
    <w:rsid w:val="15700B17"/>
    <w:rsid w:val="15804889"/>
    <w:rsid w:val="1584685F"/>
    <w:rsid w:val="158570C9"/>
    <w:rsid w:val="1592090C"/>
    <w:rsid w:val="159B4CCA"/>
    <w:rsid w:val="159D5808"/>
    <w:rsid w:val="15A46E63"/>
    <w:rsid w:val="15A52865"/>
    <w:rsid w:val="15A8233B"/>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4479C"/>
    <w:rsid w:val="16270C37"/>
    <w:rsid w:val="162B3FD9"/>
    <w:rsid w:val="163539B0"/>
    <w:rsid w:val="163A4FD7"/>
    <w:rsid w:val="16482066"/>
    <w:rsid w:val="165243D6"/>
    <w:rsid w:val="1654399A"/>
    <w:rsid w:val="166415C4"/>
    <w:rsid w:val="167004C7"/>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75810"/>
    <w:rsid w:val="1758341D"/>
    <w:rsid w:val="176075D3"/>
    <w:rsid w:val="176209E7"/>
    <w:rsid w:val="1768007F"/>
    <w:rsid w:val="176A68C8"/>
    <w:rsid w:val="17870808"/>
    <w:rsid w:val="1798692F"/>
    <w:rsid w:val="17A6334D"/>
    <w:rsid w:val="17AE317B"/>
    <w:rsid w:val="17AE70D6"/>
    <w:rsid w:val="17B85BBA"/>
    <w:rsid w:val="17CD6181"/>
    <w:rsid w:val="17DE72B7"/>
    <w:rsid w:val="17E20D1C"/>
    <w:rsid w:val="17F70F34"/>
    <w:rsid w:val="17F738E5"/>
    <w:rsid w:val="18321DF7"/>
    <w:rsid w:val="1837788C"/>
    <w:rsid w:val="184173E8"/>
    <w:rsid w:val="18441338"/>
    <w:rsid w:val="184C0F15"/>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3771"/>
    <w:rsid w:val="1C924399"/>
    <w:rsid w:val="1C9A5EA0"/>
    <w:rsid w:val="1C9A6A63"/>
    <w:rsid w:val="1C9F6C4A"/>
    <w:rsid w:val="1CBB0F59"/>
    <w:rsid w:val="1CBB7CFB"/>
    <w:rsid w:val="1CBE2DAD"/>
    <w:rsid w:val="1CC7659B"/>
    <w:rsid w:val="1CD41FC4"/>
    <w:rsid w:val="1CD955BC"/>
    <w:rsid w:val="1CF52455"/>
    <w:rsid w:val="1CFB4DD2"/>
    <w:rsid w:val="1CFD2C50"/>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87694"/>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16894"/>
    <w:rsid w:val="1F123352"/>
    <w:rsid w:val="1F1659F6"/>
    <w:rsid w:val="1F3B75FF"/>
    <w:rsid w:val="1F3F34F5"/>
    <w:rsid w:val="1F41163A"/>
    <w:rsid w:val="1F546471"/>
    <w:rsid w:val="1F5772DA"/>
    <w:rsid w:val="1F5C3C4E"/>
    <w:rsid w:val="1F67223D"/>
    <w:rsid w:val="1F690D21"/>
    <w:rsid w:val="1F743C11"/>
    <w:rsid w:val="1F7B76BF"/>
    <w:rsid w:val="1F7C26CB"/>
    <w:rsid w:val="1F7F7D85"/>
    <w:rsid w:val="1F885D57"/>
    <w:rsid w:val="1FA27229"/>
    <w:rsid w:val="1FA6339C"/>
    <w:rsid w:val="1FB11014"/>
    <w:rsid w:val="1FBB763F"/>
    <w:rsid w:val="1FBC79E0"/>
    <w:rsid w:val="1FC74197"/>
    <w:rsid w:val="1FCC1591"/>
    <w:rsid w:val="1FD27016"/>
    <w:rsid w:val="1FD479BA"/>
    <w:rsid w:val="1FD55230"/>
    <w:rsid w:val="1FD641AB"/>
    <w:rsid w:val="1FE15B0A"/>
    <w:rsid w:val="1FE854DC"/>
    <w:rsid w:val="20006656"/>
    <w:rsid w:val="20084F74"/>
    <w:rsid w:val="200C6F0C"/>
    <w:rsid w:val="201D4044"/>
    <w:rsid w:val="201E5A7F"/>
    <w:rsid w:val="20213B0F"/>
    <w:rsid w:val="20252FCF"/>
    <w:rsid w:val="202C6A57"/>
    <w:rsid w:val="20323C6D"/>
    <w:rsid w:val="20347263"/>
    <w:rsid w:val="203E746B"/>
    <w:rsid w:val="20450A76"/>
    <w:rsid w:val="20455F9C"/>
    <w:rsid w:val="20484A82"/>
    <w:rsid w:val="205358CB"/>
    <w:rsid w:val="20543631"/>
    <w:rsid w:val="20565824"/>
    <w:rsid w:val="20734912"/>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53384"/>
    <w:rsid w:val="21B92386"/>
    <w:rsid w:val="21CC6790"/>
    <w:rsid w:val="21CD03F5"/>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2A1"/>
    <w:rsid w:val="22B34785"/>
    <w:rsid w:val="22B37922"/>
    <w:rsid w:val="22B45A21"/>
    <w:rsid w:val="22D04F77"/>
    <w:rsid w:val="22F149E7"/>
    <w:rsid w:val="22FA02E3"/>
    <w:rsid w:val="22FD52E0"/>
    <w:rsid w:val="23151BBD"/>
    <w:rsid w:val="232064A5"/>
    <w:rsid w:val="232A5F2C"/>
    <w:rsid w:val="234902A8"/>
    <w:rsid w:val="234A49FF"/>
    <w:rsid w:val="2352170F"/>
    <w:rsid w:val="23533331"/>
    <w:rsid w:val="23537622"/>
    <w:rsid w:val="236739BC"/>
    <w:rsid w:val="237E7F63"/>
    <w:rsid w:val="238718C4"/>
    <w:rsid w:val="238C26AF"/>
    <w:rsid w:val="239154F8"/>
    <w:rsid w:val="23A60BED"/>
    <w:rsid w:val="23AF20CF"/>
    <w:rsid w:val="23BE0C34"/>
    <w:rsid w:val="23EE567F"/>
    <w:rsid w:val="23FE39DA"/>
    <w:rsid w:val="24065B68"/>
    <w:rsid w:val="241B4EFA"/>
    <w:rsid w:val="2422724B"/>
    <w:rsid w:val="245B7134"/>
    <w:rsid w:val="246F1B15"/>
    <w:rsid w:val="24794BB2"/>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1284F"/>
    <w:rsid w:val="266866BD"/>
    <w:rsid w:val="26696824"/>
    <w:rsid w:val="266C42F7"/>
    <w:rsid w:val="267109C3"/>
    <w:rsid w:val="267365C7"/>
    <w:rsid w:val="268A5924"/>
    <w:rsid w:val="26972C43"/>
    <w:rsid w:val="26A47A01"/>
    <w:rsid w:val="26CB7903"/>
    <w:rsid w:val="26D11F9C"/>
    <w:rsid w:val="26D771E7"/>
    <w:rsid w:val="26E66172"/>
    <w:rsid w:val="26ED2E1C"/>
    <w:rsid w:val="26EF6891"/>
    <w:rsid w:val="26F82DE5"/>
    <w:rsid w:val="27064754"/>
    <w:rsid w:val="271313BF"/>
    <w:rsid w:val="27190AE2"/>
    <w:rsid w:val="2728538E"/>
    <w:rsid w:val="272F28E5"/>
    <w:rsid w:val="273E000B"/>
    <w:rsid w:val="2754776F"/>
    <w:rsid w:val="275A49BC"/>
    <w:rsid w:val="275C1141"/>
    <w:rsid w:val="276023AE"/>
    <w:rsid w:val="27685C29"/>
    <w:rsid w:val="276E5D6B"/>
    <w:rsid w:val="276F6AD9"/>
    <w:rsid w:val="277C70AE"/>
    <w:rsid w:val="278630A6"/>
    <w:rsid w:val="2786663F"/>
    <w:rsid w:val="27900FF1"/>
    <w:rsid w:val="27A2492F"/>
    <w:rsid w:val="27A26DCC"/>
    <w:rsid w:val="27A31B4E"/>
    <w:rsid w:val="27B947C2"/>
    <w:rsid w:val="27DB36C2"/>
    <w:rsid w:val="27DB4429"/>
    <w:rsid w:val="27EE4629"/>
    <w:rsid w:val="27EF0EAD"/>
    <w:rsid w:val="28052235"/>
    <w:rsid w:val="281430C3"/>
    <w:rsid w:val="28152F24"/>
    <w:rsid w:val="281671B7"/>
    <w:rsid w:val="281E3EAE"/>
    <w:rsid w:val="28270174"/>
    <w:rsid w:val="28395805"/>
    <w:rsid w:val="285D13A9"/>
    <w:rsid w:val="28621496"/>
    <w:rsid w:val="28650D72"/>
    <w:rsid w:val="2880449B"/>
    <w:rsid w:val="289813BC"/>
    <w:rsid w:val="28A742C0"/>
    <w:rsid w:val="28B16BAC"/>
    <w:rsid w:val="28B222C6"/>
    <w:rsid w:val="28BC08CE"/>
    <w:rsid w:val="28CF2CCD"/>
    <w:rsid w:val="28D334D0"/>
    <w:rsid w:val="28D701CA"/>
    <w:rsid w:val="28DC2D9C"/>
    <w:rsid w:val="28E04CC8"/>
    <w:rsid w:val="28EB5815"/>
    <w:rsid w:val="28EC35B0"/>
    <w:rsid w:val="28F905BC"/>
    <w:rsid w:val="28FA5BE1"/>
    <w:rsid w:val="2903032F"/>
    <w:rsid w:val="290403ED"/>
    <w:rsid w:val="29065C1C"/>
    <w:rsid w:val="290B3ADD"/>
    <w:rsid w:val="29242AD0"/>
    <w:rsid w:val="29251C92"/>
    <w:rsid w:val="2938134F"/>
    <w:rsid w:val="29415D74"/>
    <w:rsid w:val="29421D49"/>
    <w:rsid w:val="294228F6"/>
    <w:rsid w:val="2954117E"/>
    <w:rsid w:val="295B0F1F"/>
    <w:rsid w:val="295B72FD"/>
    <w:rsid w:val="296854E7"/>
    <w:rsid w:val="29685971"/>
    <w:rsid w:val="29694265"/>
    <w:rsid w:val="296D615D"/>
    <w:rsid w:val="296E145D"/>
    <w:rsid w:val="29703F71"/>
    <w:rsid w:val="29705FD0"/>
    <w:rsid w:val="297A08C7"/>
    <w:rsid w:val="297A51BC"/>
    <w:rsid w:val="298D58DE"/>
    <w:rsid w:val="299D603F"/>
    <w:rsid w:val="29A9096D"/>
    <w:rsid w:val="29C80DF2"/>
    <w:rsid w:val="29D2154B"/>
    <w:rsid w:val="29EA7C93"/>
    <w:rsid w:val="29F31B60"/>
    <w:rsid w:val="29FD3CFC"/>
    <w:rsid w:val="29FF2DEE"/>
    <w:rsid w:val="2A010675"/>
    <w:rsid w:val="2A0555DF"/>
    <w:rsid w:val="2A074829"/>
    <w:rsid w:val="2A14007E"/>
    <w:rsid w:val="2A164EBF"/>
    <w:rsid w:val="2A1F294B"/>
    <w:rsid w:val="2A203DF6"/>
    <w:rsid w:val="2A397752"/>
    <w:rsid w:val="2A3D2220"/>
    <w:rsid w:val="2A460ABD"/>
    <w:rsid w:val="2A483EE6"/>
    <w:rsid w:val="2A4D0763"/>
    <w:rsid w:val="2A55053C"/>
    <w:rsid w:val="2A612E01"/>
    <w:rsid w:val="2A63223B"/>
    <w:rsid w:val="2A6625BB"/>
    <w:rsid w:val="2A69502D"/>
    <w:rsid w:val="2A6F665D"/>
    <w:rsid w:val="2A7B1A6A"/>
    <w:rsid w:val="2A955755"/>
    <w:rsid w:val="2AA71F23"/>
    <w:rsid w:val="2AA824F5"/>
    <w:rsid w:val="2AAC31F0"/>
    <w:rsid w:val="2AAF4827"/>
    <w:rsid w:val="2AB17574"/>
    <w:rsid w:val="2AB87157"/>
    <w:rsid w:val="2ABA6525"/>
    <w:rsid w:val="2AC65178"/>
    <w:rsid w:val="2ACD11D1"/>
    <w:rsid w:val="2AD212BC"/>
    <w:rsid w:val="2AD35375"/>
    <w:rsid w:val="2AE62A58"/>
    <w:rsid w:val="2AF81ECB"/>
    <w:rsid w:val="2AF87E90"/>
    <w:rsid w:val="2AFF1DEE"/>
    <w:rsid w:val="2B030144"/>
    <w:rsid w:val="2B0C1692"/>
    <w:rsid w:val="2B0E023E"/>
    <w:rsid w:val="2B0F327D"/>
    <w:rsid w:val="2B1508C6"/>
    <w:rsid w:val="2B181E15"/>
    <w:rsid w:val="2B1D5E9C"/>
    <w:rsid w:val="2B1F7E02"/>
    <w:rsid w:val="2B243409"/>
    <w:rsid w:val="2B275FA7"/>
    <w:rsid w:val="2B310AA4"/>
    <w:rsid w:val="2B34404C"/>
    <w:rsid w:val="2B3B3627"/>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22DE8"/>
    <w:rsid w:val="2D533456"/>
    <w:rsid w:val="2D5809C0"/>
    <w:rsid w:val="2D614A43"/>
    <w:rsid w:val="2D623805"/>
    <w:rsid w:val="2D6D3CA2"/>
    <w:rsid w:val="2D7048BA"/>
    <w:rsid w:val="2D781D43"/>
    <w:rsid w:val="2D7D7121"/>
    <w:rsid w:val="2D854A69"/>
    <w:rsid w:val="2DA74F81"/>
    <w:rsid w:val="2DAB42E1"/>
    <w:rsid w:val="2DB26597"/>
    <w:rsid w:val="2DB5614E"/>
    <w:rsid w:val="2DCB194C"/>
    <w:rsid w:val="2DD47F28"/>
    <w:rsid w:val="2DD66EDF"/>
    <w:rsid w:val="2DDF642E"/>
    <w:rsid w:val="2DE32A97"/>
    <w:rsid w:val="2DE7057C"/>
    <w:rsid w:val="2DF635D7"/>
    <w:rsid w:val="2E056DE4"/>
    <w:rsid w:val="2E066EF7"/>
    <w:rsid w:val="2E0901D2"/>
    <w:rsid w:val="2E203718"/>
    <w:rsid w:val="2E234CF1"/>
    <w:rsid w:val="2E2746AE"/>
    <w:rsid w:val="2E2C6D07"/>
    <w:rsid w:val="2E2F6083"/>
    <w:rsid w:val="2E454D2B"/>
    <w:rsid w:val="2E465602"/>
    <w:rsid w:val="2E572CC0"/>
    <w:rsid w:val="2E5863B2"/>
    <w:rsid w:val="2E731405"/>
    <w:rsid w:val="2EA13F74"/>
    <w:rsid w:val="2EB005F7"/>
    <w:rsid w:val="2EB14523"/>
    <w:rsid w:val="2EB5032D"/>
    <w:rsid w:val="2ED42187"/>
    <w:rsid w:val="2EDB1B05"/>
    <w:rsid w:val="2EDE6E27"/>
    <w:rsid w:val="2EE124DD"/>
    <w:rsid w:val="2EE32FFB"/>
    <w:rsid w:val="2EE70CD5"/>
    <w:rsid w:val="2EEF4A6B"/>
    <w:rsid w:val="2EFC3B1C"/>
    <w:rsid w:val="2F016955"/>
    <w:rsid w:val="2F0D112B"/>
    <w:rsid w:val="2F211370"/>
    <w:rsid w:val="2F397876"/>
    <w:rsid w:val="2F3A54E2"/>
    <w:rsid w:val="2F413369"/>
    <w:rsid w:val="2F4F5EEC"/>
    <w:rsid w:val="2F525F81"/>
    <w:rsid w:val="2F5551FE"/>
    <w:rsid w:val="2F583642"/>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E842B0"/>
    <w:rsid w:val="2FF51385"/>
    <w:rsid w:val="2FF714B8"/>
    <w:rsid w:val="2FFE0E4A"/>
    <w:rsid w:val="30032FEE"/>
    <w:rsid w:val="300635B2"/>
    <w:rsid w:val="300D11EE"/>
    <w:rsid w:val="30214C7E"/>
    <w:rsid w:val="302F6ADD"/>
    <w:rsid w:val="303A4542"/>
    <w:rsid w:val="3042487F"/>
    <w:rsid w:val="30424B95"/>
    <w:rsid w:val="304D5D1A"/>
    <w:rsid w:val="304F6507"/>
    <w:rsid w:val="305B6E73"/>
    <w:rsid w:val="305E79BD"/>
    <w:rsid w:val="30624751"/>
    <w:rsid w:val="307C63D6"/>
    <w:rsid w:val="3081657F"/>
    <w:rsid w:val="308510AC"/>
    <w:rsid w:val="309D0C02"/>
    <w:rsid w:val="309E55A3"/>
    <w:rsid w:val="30A64A4F"/>
    <w:rsid w:val="30B31354"/>
    <w:rsid w:val="30B31546"/>
    <w:rsid w:val="30CC589B"/>
    <w:rsid w:val="30D51325"/>
    <w:rsid w:val="30D82940"/>
    <w:rsid w:val="30DC47F8"/>
    <w:rsid w:val="30E92225"/>
    <w:rsid w:val="30F00D6B"/>
    <w:rsid w:val="30F91599"/>
    <w:rsid w:val="30FD18B7"/>
    <w:rsid w:val="31073C5C"/>
    <w:rsid w:val="31223AD7"/>
    <w:rsid w:val="312F75C1"/>
    <w:rsid w:val="31366F42"/>
    <w:rsid w:val="313C7BC6"/>
    <w:rsid w:val="314E4A7A"/>
    <w:rsid w:val="317B6247"/>
    <w:rsid w:val="3184584E"/>
    <w:rsid w:val="31890AFA"/>
    <w:rsid w:val="319358D6"/>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B44688"/>
    <w:rsid w:val="32D23AA1"/>
    <w:rsid w:val="32E7237C"/>
    <w:rsid w:val="32FA4E00"/>
    <w:rsid w:val="33097FCB"/>
    <w:rsid w:val="330F07F9"/>
    <w:rsid w:val="331E1AA2"/>
    <w:rsid w:val="33236153"/>
    <w:rsid w:val="3325361E"/>
    <w:rsid w:val="332C6DB4"/>
    <w:rsid w:val="333971B7"/>
    <w:rsid w:val="33407A22"/>
    <w:rsid w:val="3343097A"/>
    <w:rsid w:val="33684AED"/>
    <w:rsid w:val="3368695C"/>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2E3103"/>
    <w:rsid w:val="353D699B"/>
    <w:rsid w:val="35441378"/>
    <w:rsid w:val="354C204D"/>
    <w:rsid w:val="35533710"/>
    <w:rsid w:val="35616185"/>
    <w:rsid w:val="356C7D73"/>
    <w:rsid w:val="357E1639"/>
    <w:rsid w:val="35834702"/>
    <w:rsid w:val="3586245B"/>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307170"/>
    <w:rsid w:val="36404B8B"/>
    <w:rsid w:val="36471A5E"/>
    <w:rsid w:val="364931EB"/>
    <w:rsid w:val="364B0623"/>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B4844"/>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BB4ED2"/>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793FAF"/>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6C4DCE"/>
    <w:rsid w:val="3D7D68E8"/>
    <w:rsid w:val="3D816473"/>
    <w:rsid w:val="3D924D76"/>
    <w:rsid w:val="3D936176"/>
    <w:rsid w:val="3DA605F1"/>
    <w:rsid w:val="3DB624D6"/>
    <w:rsid w:val="3DC96A91"/>
    <w:rsid w:val="3DCE4212"/>
    <w:rsid w:val="3DD94742"/>
    <w:rsid w:val="3DE50A71"/>
    <w:rsid w:val="3DE64D3F"/>
    <w:rsid w:val="3DEF682D"/>
    <w:rsid w:val="3DF15DDC"/>
    <w:rsid w:val="3DF43ED5"/>
    <w:rsid w:val="3E0B107A"/>
    <w:rsid w:val="3E1D3429"/>
    <w:rsid w:val="3E297137"/>
    <w:rsid w:val="3E320EDF"/>
    <w:rsid w:val="3E4B5902"/>
    <w:rsid w:val="3E5E47FF"/>
    <w:rsid w:val="3E620DC8"/>
    <w:rsid w:val="3E650593"/>
    <w:rsid w:val="3E675643"/>
    <w:rsid w:val="3E684068"/>
    <w:rsid w:val="3E7F51AE"/>
    <w:rsid w:val="3E895706"/>
    <w:rsid w:val="3E9111B3"/>
    <w:rsid w:val="3EA25B10"/>
    <w:rsid w:val="3EA41BA5"/>
    <w:rsid w:val="3EA9033A"/>
    <w:rsid w:val="3EAF72E4"/>
    <w:rsid w:val="3EB3388D"/>
    <w:rsid w:val="3EC25BCA"/>
    <w:rsid w:val="3ECC2D0E"/>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5E95"/>
    <w:rsid w:val="3F6E7226"/>
    <w:rsid w:val="3F7418AC"/>
    <w:rsid w:val="3F7B467C"/>
    <w:rsid w:val="3F7F4BFD"/>
    <w:rsid w:val="3F8534F2"/>
    <w:rsid w:val="3F8D44E0"/>
    <w:rsid w:val="3F8D6CDE"/>
    <w:rsid w:val="3F9C3E7C"/>
    <w:rsid w:val="3FB37803"/>
    <w:rsid w:val="3FBE27AD"/>
    <w:rsid w:val="3FC15165"/>
    <w:rsid w:val="3FEB0F5D"/>
    <w:rsid w:val="3FED37A2"/>
    <w:rsid w:val="3FF76865"/>
    <w:rsid w:val="3FF8C8EC"/>
    <w:rsid w:val="40097753"/>
    <w:rsid w:val="400A538D"/>
    <w:rsid w:val="401041CC"/>
    <w:rsid w:val="401C0644"/>
    <w:rsid w:val="40377291"/>
    <w:rsid w:val="40385090"/>
    <w:rsid w:val="403D4075"/>
    <w:rsid w:val="40562B90"/>
    <w:rsid w:val="40581609"/>
    <w:rsid w:val="405F1454"/>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265775"/>
    <w:rsid w:val="41371FE0"/>
    <w:rsid w:val="415C087D"/>
    <w:rsid w:val="41604FAE"/>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A71CD"/>
    <w:rsid w:val="41EE0902"/>
    <w:rsid w:val="42080287"/>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A26E7"/>
    <w:rsid w:val="42BC2E3B"/>
    <w:rsid w:val="42D21379"/>
    <w:rsid w:val="42EC5ED5"/>
    <w:rsid w:val="42F35F7E"/>
    <w:rsid w:val="4304205B"/>
    <w:rsid w:val="430E6D0F"/>
    <w:rsid w:val="430F7CB1"/>
    <w:rsid w:val="43386CA4"/>
    <w:rsid w:val="433D333A"/>
    <w:rsid w:val="43422211"/>
    <w:rsid w:val="4343018D"/>
    <w:rsid w:val="4343299A"/>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925A43"/>
    <w:rsid w:val="43A6091D"/>
    <w:rsid w:val="43A94C99"/>
    <w:rsid w:val="43AD047C"/>
    <w:rsid w:val="43B93CA1"/>
    <w:rsid w:val="43C96CC1"/>
    <w:rsid w:val="43D95A5E"/>
    <w:rsid w:val="43DB681A"/>
    <w:rsid w:val="43E66B2A"/>
    <w:rsid w:val="43EF7DF5"/>
    <w:rsid w:val="43F75428"/>
    <w:rsid w:val="44062A2A"/>
    <w:rsid w:val="44064D7F"/>
    <w:rsid w:val="440E4906"/>
    <w:rsid w:val="440F21F4"/>
    <w:rsid w:val="440F23A5"/>
    <w:rsid w:val="441B2788"/>
    <w:rsid w:val="44312509"/>
    <w:rsid w:val="44353309"/>
    <w:rsid w:val="443D5C83"/>
    <w:rsid w:val="443E6111"/>
    <w:rsid w:val="444112B7"/>
    <w:rsid w:val="4442520B"/>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592647"/>
    <w:rsid w:val="45741404"/>
    <w:rsid w:val="4576199B"/>
    <w:rsid w:val="457D00B8"/>
    <w:rsid w:val="457F625C"/>
    <w:rsid w:val="45800E6C"/>
    <w:rsid w:val="45820B72"/>
    <w:rsid w:val="458379B3"/>
    <w:rsid w:val="459B604C"/>
    <w:rsid w:val="459F5856"/>
    <w:rsid w:val="45BB2BD6"/>
    <w:rsid w:val="45BC2771"/>
    <w:rsid w:val="45BE51CE"/>
    <w:rsid w:val="45C86013"/>
    <w:rsid w:val="45CD3D41"/>
    <w:rsid w:val="45DE78CC"/>
    <w:rsid w:val="45E16D57"/>
    <w:rsid w:val="45E83918"/>
    <w:rsid w:val="45F524BA"/>
    <w:rsid w:val="45F85B25"/>
    <w:rsid w:val="45FA5BAF"/>
    <w:rsid w:val="45FD1EC4"/>
    <w:rsid w:val="46010103"/>
    <w:rsid w:val="4606415C"/>
    <w:rsid w:val="460F365D"/>
    <w:rsid w:val="4612589E"/>
    <w:rsid w:val="462205A8"/>
    <w:rsid w:val="46495138"/>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8C550C"/>
    <w:rsid w:val="47921058"/>
    <w:rsid w:val="47980643"/>
    <w:rsid w:val="47AC64AE"/>
    <w:rsid w:val="47AE2329"/>
    <w:rsid w:val="47BA20DB"/>
    <w:rsid w:val="47CD4EBC"/>
    <w:rsid w:val="47D34EEE"/>
    <w:rsid w:val="47D70350"/>
    <w:rsid w:val="47D96A40"/>
    <w:rsid w:val="47DC4C30"/>
    <w:rsid w:val="47E065A6"/>
    <w:rsid w:val="47E24A1D"/>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514D9"/>
    <w:rsid w:val="492A3205"/>
    <w:rsid w:val="49341C2B"/>
    <w:rsid w:val="49346CF1"/>
    <w:rsid w:val="494A309B"/>
    <w:rsid w:val="494B3250"/>
    <w:rsid w:val="494C57CF"/>
    <w:rsid w:val="494D16C1"/>
    <w:rsid w:val="4959460B"/>
    <w:rsid w:val="49851EDB"/>
    <w:rsid w:val="49CA7E3C"/>
    <w:rsid w:val="49D9493E"/>
    <w:rsid w:val="49E05DCB"/>
    <w:rsid w:val="49EB622C"/>
    <w:rsid w:val="49F50CB4"/>
    <w:rsid w:val="4A0028F7"/>
    <w:rsid w:val="4A060453"/>
    <w:rsid w:val="4A087489"/>
    <w:rsid w:val="4A2B1F5C"/>
    <w:rsid w:val="4A824219"/>
    <w:rsid w:val="4A8C305D"/>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6E3FEB"/>
    <w:rsid w:val="4B7A6EA5"/>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5637C"/>
    <w:rsid w:val="4C0C70D3"/>
    <w:rsid w:val="4C0E7F9A"/>
    <w:rsid w:val="4C252352"/>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2653F"/>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1D115E"/>
    <w:rsid w:val="4F2C1A89"/>
    <w:rsid w:val="4F2F54B5"/>
    <w:rsid w:val="4F3D05DF"/>
    <w:rsid w:val="4F3F4604"/>
    <w:rsid w:val="4F4F0440"/>
    <w:rsid w:val="4F632DB7"/>
    <w:rsid w:val="4F6828F3"/>
    <w:rsid w:val="4F745890"/>
    <w:rsid w:val="4F7702EF"/>
    <w:rsid w:val="4F7B55C1"/>
    <w:rsid w:val="4F7B6C2F"/>
    <w:rsid w:val="4F882033"/>
    <w:rsid w:val="4F967CF0"/>
    <w:rsid w:val="4F9E40E5"/>
    <w:rsid w:val="4FA45FB4"/>
    <w:rsid w:val="4FB140AE"/>
    <w:rsid w:val="4FB76356"/>
    <w:rsid w:val="4FBE4AFD"/>
    <w:rsid w:val="4FC43CE1"/>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33760D"/>
    <w:rsid w:val="514329D6"/>
    <w:rsid w:val="51511E2B"/>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176DF"/>
    <w:rsid w:val="52547186"/>
    <w:rsid w:val="52631321"/>
    <w:rsid w:val="526B2DEC"/>
    <w:rsid w:val="526B5EEE"/>
    <w:rsid w:val="527D67A7"/>
    <w:rsid w:val="529415EA"/>
    <w:rsid w:val="52AA140F"/>
    <w:rsid w:val="52AF3F38"/>
    <w:rsid w:val="52B33948"/>
    <w:rsid w:val="52C93BBE"/>
    <w:rsid w:val="52D05D9C"/>
    <w:rsid w:val="52DF5A77"/>
    <w:rsid w:val="52E113F5"/>
    <w:rsid w:val="52E2402D"/>
    <w:rsid w:val="530715FB"/>
    <w:rsid w:val="530C7D7F"/>
    <w:rsid w:val="530D0E70"/>
    <w:rsid w:val="53297E57"/>
    <w:rsid w:val="533F38E7"/>
    <w:rsid w:val="53404196"/>
    <w:rsid w:val="53420089"/>
    <w:rsid w:val="534C79BB"/>
    <w:rsid w:val="537D23DD"/>
    <w:rsid w:val="5384469F"/>
    <w:rsid w:val="53871AB1"/>
    <w:rsid w:val="538D6A67"/>
    <w:rsid w:val="539150CC"/>
    <w:rsid w:val="539802F4"/>
    <w:rsid w:val="539D2ACB"/>
    <w:rsid w:val="53A64776"/>
    <w:rsid w:val="53A74C89"/>
    <w:rsid w:val="53AC48CA"/>
    <w:rsid w:val="53AE5A8A"/>
    <w:rsid w:val="53C12731"/>
    <w:rsid w:val="53CF5237"/>
    <w:rsid w:val="53D20731"/>
    <w:rsid w:val="53D224D9"/>
    <w:rsid w:val="53D97E77"/>
    <w:rsid w:val="53DA6ABC"/>
    <w:rsid w:val="53E27E4A"/>
    <w:rsid w:val="53E355BF"/>
    <w:rsid w:val="53E8282F"/>
    <w:rsid w:val="53E857A6"/>
    <w:rsid w:val="53F83D31"/>
    <w:rsid w:val="53F86054"/>
    <w:rsid w:val="54061774"/>
    <w:rsid w:val="54084368"/>
    <w:rsid w:val="540E3ABB"/>
    <w:rsid w:val="5414200F"/>
    <w:rsid w:val="5415213B"/>
    <w:rsid w:val="54174D5D"/>
    <w:rsid w:val="541B216B"/>
    <w:rsid w:val="543A3A51"/>
    <w:rsid w:val="543B76CE"/>
    <w:rsid w:val="54441F03"/>
    <w:rsid w:val="5458604D"/>
    <w:rsid w:val="545B4B40"/>
    <w:rsid w:val="5465700C"/>
    <w:rsid w:val="54684A59"/>
    <w:rsid w:val="546F42E0"/>
    <w:rsid w:val="54735790"/>
    <w:rsid w:val="54805AA2"/>
    <w:rsid w:val="54811B92"/>
    <w:rsid w:val="54820F7A"/>
    <w:rsid w:val="54881F94"/>
    <w:rsid w:val="548A1AB1"/>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BDB48"/>
    <w:rsid w:val="55FF3C96"/>
    <w:rsid w:val="560010ED"/>
    <w:rsid w:val="560A1E7A"/>
    <w:rsid w:val="560C20A5"/>
    <w:rsid w:val="562C2FA6"/>
    <w:rsid w:val="562E13B9"/>
    <w:rsid w:val="56312196"/>
    <w:rsid w:val="563535D4"/>
    <w:rsid w:val="56353E08"/>
    <w:rsid w:val="56362C3B"/>
    <w:rsid w:val="563C154B"/>
    <w:rsid w:val="564B4F61"/>
    <w:rsid w:val="564C6A6F"/>
    <w:rsid w:val="56506BA6"/>
    <w:rsid w:val="565D32EE"/>
    <w:rsid w:val="56682B4C"/>
    <w:rsid w:val="5668633D"/>
    <w:rsid w:val="566D65BC"/>
    <w:rsid w:val="56707213"/>
    <w:rsid w:val="56757DE9"/>
    <w:rsid w:val="5677517B"/>
    <w:rsid w:val="56882964"/>
    <w:rsid w:val="568E5C2E"/>
    <w:rsid w:val="569269BE"/>
    <w:rsid w:val="56946918"/>
    <w:rsid w:val="569D0DCD"/>
    <w:rsid w:val="569F741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1B7339"/>
    <w:rsid w:val="583339EA"/>
    <w:rsid w:val="585144AA"/>
    <w:rsid w:val="58567D64"/>
    <w:rsid w:val="585C110C"/>
    <w:rsid w:val="586057AB"/>
    <w:rsid w:val="58651B4D"/>
    <w:rsid w:val="586578BF"/>
    <w:rsid w:val="58730A21"/>
    <w:rsid w:val="587A70C6"/>
    <w:rsid w:val="588D7EB4"/>
    <w:rsid w:val="589947D3"/>
    <w:rsid w:val="589A4F5C"/>
    <w:rsid w:val="58A75020"/>
    <w:rsid w:val="58B32D3F"/>
    <w:rsid w:val="58C0349D"/>
    <w:rsid w:val="58C94687"/>
    <w:rsid w:val="58D52827"/>
    <w:rsid w:val="58DE49F6"/>
    <w:rsid w:val="58F7247A"/>
    <w:rsid w:val="590413BD"/>
    <w:rsid w:val="5913289D"/>
    <w:rsid w:val="5919795C"/>
    <w:rsid w:val="59232537"/>
    <w:rsid w:val="592F245D"/>
    <w:rsid w:val="593D3B58"/>
    <w:rsid w:val="59440619"/>
    <w:rsid w:val="5945315F"/>
    <w:rsid w:val="594720D1"/>
    <w:rsid w:val="59570C35"/>
    <w:rsid w:val="596326A9"/>
    <w:rsid w:val="596560C8"/>
    <w:rsid w:val="59700257"/>
    <w:rsid w:val="59724E0E"/>
    <w:rsid w:val="597252E0"/>
    <w:rsid w:val="597D3815"/>
    <w:rsid w:val="59830A4E"/>
    <w:rsid w:val="598B4B87"/>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047541"/>
    <w:rsid w:val="5A1560F8"/>
    <w:rsid w:val="5A17068E"/>
    <w:rsid w:val="5A1F739C"/>
    <w:rsid w:val="5A20482B"/>
    <w:rsid w:val="5A297734"/>
    <w:rsid w:val="5A4433AC"/>
    <w:rsid w:val="5A456C26"/>
    <w:rsid w:val="5A4F57C5"/>
    <w:rsid w:val="5A4F5EE1"/>
    <w:rsid w:val="5A5665CD"/>
    <w:rsid w:val="5A576395"/>
    <w:rsid w:val="5A593148"/>
    <w:rsid w:val="5A5E0CAD"/>
    <w:rsid w:val="5A604B4C"/>
    <w:rsid w:val="5A620DD5"/>
    <w:rsid w:val="5A6E519E"/>
    <w:rsid w:val="5A6E5F01"/>
    <w:rsid w:val="5A7F23D0"/>
    <w:rsid w:val="5A8804DC"/>
    <w:rsid w:val="5A89045B"/>
    <w:rsid w:val="5A8A094A"/>
    <w:rsid w:val="5A8A61C8"/>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059E8"/>
    <w:rsid w:val="5B565B4F"/>
    <w:rsid w:val="5B585CC5"/>
    <w:rsid w:val="5B5911EA"/>
    <w:rsid w:val="5B5B6C7F"/>
    <w:rsid w:val="5B5F167F"/>
    <w:rsid w:val="5B73596C"/>
    <w:rsid w:val="5B8E3166"/>
    <w:rsid w:val="5B903475"/>
    <w:rsid w:val="5B982E7E"/>
    <w:rsid w:val="5B9B660C"/>
    <w:rsid w:val="5BBE4F50"/>
    <w:rsid w:val="5BD1505A"/>
    <w:rsid w:val="5BD92BA9"/>
    <w:rsid w:val="5BDD29C3"/>
    <w:rsid w:val="5BDE6F14"/>
    <w:rsid w:val="5C046156"/>
    <w:rsid w:val="5C0A3BB7"/>
    <w:rsid w:val="5C0A68F9"/>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9B05B1"/>
    <w:rsid w:val="5CA3373E"/>
    <w:rsid w:val="5CA55250"/>
    <w:rsid w:val="5CB7487F"/>
    <w:rsid w:val="5CBA2E24"/>
    <w:rsid w:val="5CBE4851"/>
    <w:rsid w:val="5CBF7942"/>
    <w:rsid w:val="5CD80A4C"/>
    <w:rsid w:val="5CE15547"/>
    <w:rsid w:val="5CF22A1A"/>
    <w:rsid w:val="5CF3304A"/>
    <w:rsid w:val="5CF55D68"/>
    <w:rsid w:val="5CF97C9E"/>
    <w:rsid w:val="5D0B42DC"/>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7DD0"/>
    <w:rsid w:val="5DC567E9"/>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4743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3175F"/>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52496"/>
    <w:rsid w:val="5FB64A68"/>
    <w:rsid w:val="5FBF59B7"/>
    <w:rsid w:val="5FD21CA0"/>
    <w:rsid w:val="5FD81733"/>
    <w:rsid w:val="5FDE2E8C"/>
    <w:rsid w:val="5FE32071"/>
    <w:rsid w:val="5FEC1D02"/>
    <w:rsid w:val="5FED15CB"/>
    <w:rsid w:val="600B3F28"/>
    <w:rsid w:val="600B6F9E"/>
    <w:rsid w:val="600F0E40"/>
    <w:rsid w:val="60204443"/>
    <w:rsid w:val="602A71DA"/>
    <w:rsid w:val="60377C74"/>
    <w:rsid w:val="60481217"/>
    <w:rsid w:val="605806CA"/>
    <w:rsid w:val="606D316C"/>
    <w:rsid w:val="6075208D"/>
    <w:rsid w:val="60787038"/>
    <w:rsid w:val="607E396C"/>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706ED"/>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C905D2"/>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9FFC17"/>
    <w:rsid w:val="64A57EA9"/>
    <w:rsid w:val="64BB5402"/>
    <w:rsid w:val="64BD0DE2"/>
    <w:rsid w:val="64D662E6"/>
    <w:rsid w:val="64E333A8"/>
    <w:rsid w:val="64EA733A"/>
    <w:rsid w:val="64EB1253"/>
    <w:rsid w:val="650548C8"/>
    <w:rsid w:val="650906B2"/>
    <w:rsid w:val="650E29E3"/>
    <w:rsid w:val="651725E2"/>
    <w:rsid w:val="652A523F"/>
    <w:rsid w:val="65381046"/>
    <w:rsid w:val="65405E19"/>
    <w:rsid w:val="654D2F79"/>
    <w:rsid w:val="65617866"/>
    <w:rsid w:val="6570194C"/>
    <w:rsid w:val="65741253"/>
    <w:rsid w:val="657933B4"/>
    <w:rsid w:val="658629E2"/>
    <w:rsid w:val="65886C35"/>
    <w:rsid w:val="65892994"/>
    <w:rsid w:val="65A321ED"/>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4956ED"/>
    <w:rsid w:val="66647507"/>
    <w:rsid w:val="667A52B7"/>
    <w:rsid w:val="667E00F5"/>
    <w:rsid w:val="668652F7"/>
    <w:rsid w:val="668C6CE7"/>
    <w:rsid w:val="66900CCE"/>
    <w:rsid w:val="66910EB8"/>
    <w:rsid w:val="6694063C"/>
    <w:rsid w:val="66972D8E"/>
    <w:rsid w:val="669B2422"/>
    <w:rsid w:val="66A5721B"/>
    <w:rsid w:val="66B37847"/>
    <w:rsid w:val="66B80708"/>
    <w:rsid w:val="66BD4C82"/>
    <w:rsid w:val="66C224BB"/>
    <w:rsid w:val="66D953C4"/>
    <w:rsid w:val="66D9632C"/>
    <w:rsid w:val="66E45649"/>
    <w:rsid w:val="66E63A20"/>
    <w:rsid w:val="66F76FD0"/>
    <w:rsid w:val="66F9395F"/>
    <w:rsid w:val="66FD5708"/>
    <w:rsid w:val="66FF2DB2"/>
    <w:rsid w:val="67030DFA"/>
    <w:rsid w:val="67044237"/>
    <w:rsid w:val="67074134"/>
    <w:rsid w:val="670D1283"/>
    <w:rsid w:val="671615FF"/>
    <w:rsid w:val="67175BC5"/>
    <w:rsid w:val="671B3C27"/>
    <w:rsid w:val="67204BFD"/>
    <w:rsid w:val="672217FF"/>
    <w:rsid w:val="672619FE"/>
    <w:rsid w:val="67292B3C"/>
    <w:rsid w:val="672E3147"/>
    <w:rsid w:val="673253D5"/>
    <w:rsid w:val="67346BFA"/>
    <w:rsid w:val="673C344F"/>
    <w:rsid w:val="6755674D"/>
    <w:rsid w:val="67586A9B"/>
    <w:rsid w:val="675B4AC2"/>
    <w:rsid w:val="675B57F5"/>
    <w:rsid w:val="675F2A05"/>
    <w:rsid w:val="676207E2"/>
    <w:rsid w:val="67625DA7"/>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12209F"/>
    <w:rsid w:val="68363F74"/>
    <w:rsid w:val="683659CB"/>
    <w:rsid w:val="684B46A6"/>
    <w:rsid w:val="684D303D"/>
    <w:rsid w:val="685A4162"/>
    <w:rsid w:val="68767581"/>
    <w:rsid w:val="68810A52"/>
    <w:rsid w:val="6884668C"/>
    <w:rsid w:val="6888364F"/>
    <w:rsid w:val="689641FE"/>
    <w:rsid w:val="68A3215E"/>
    <w:rsid w:val="68B07FC2"/>
    <w:rsid w:val="68BC7C3A"/>
    <w:rsid w:val="68C07C6D"/>
    <w:rsid w:val="68C24A46"/>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126A9"/>
    <w:rsid w:val="695A62A9"/>
    <w:rsid w:val="696E4DB1"/>
    <w:rsid w:val="69831A73"/>
    <w:rsid w:val="69833B52"/>
    <w:rsid w:val="69840A36"/>
    <w:rsid w:val="69862472"/>
    <w:rsid w:val="698C6058"/>
    <w:rsid w:val="69976019"/>
    <w:rsid w:val="69A34249"/>
    <w:rsid w:val="69A60CBC"/>
    <w:rsid w:val="69B339A6"/>
    <w:rsid w:val="69B665F3"/>
    <w:rsid w:val="69C932A9"/>
    <w:rsid w:val="69CD2E33"/>
    <w:rsid w:val="69CE2C9D"/>
    <w:rsid w:val="69DC4528"/>
    <w:rsid w:val="69EB5FCC"/>
    <w:rsid w:val="69F63188"/>
    <w:rsid w:val="6A063C23"/>
    <w:rsid w:val="6A0B175E"/>
    <w:rsid w:val="6A0B1C3A"/>
    <w:rsid w:val="6A101F75"/>
    <w:rsid w:val="6A1874E7"/>
    <w:rsid w:val="6A282B66"/>
    <w:rsid w:val="6A2C7939"/>
    <w:rsid w:val="6A2E0E19"/>
    <w:rsid w:val="6A2F393C"/>
    <w:rsid w:val="6A2F4319"/>
    <w:rsid w:val="6A4457DE"/>
    <w:rsid w:val="6A5275EB"/>
    <w:rsid w:val="6A527D31"/>
    <w:rsid w:val="6A5705B3"/>
    <w:rsid w:val="6A6E1B96"/>
    <w:rsid w:val="6A732C43"/>
    <w:rsid w:val="6A8B0B65"/>
    <w:rsid w:val="6A920AE0"/>
    <w:rsid w:val="6ABB3B40"/>
    <w:rsid w:val="6AC169C2"/>
    <w:rsid w:val="6AC93F8C"/>
    <w:rsid w:val="6AD03B37"/>
    <w:rsid w:val="6AD1121C"/>
    <w:rsid w:val="6ADB2ADD"/>
    <w:rsid w:val="6AF666D5"/>
    <w:rsid w:val="6B070AB1"/>
    <w:rsid w:val="6B112020"/>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0B51"/>
    <w:rsid w:val="6BA63872"/>
    <w:rsid w:val="6BA65103"/>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40C7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20B9E"/>
    <w:rsid w:val="6E1942EC"/>
    <w:rsid w:val="6E236350"/>
    <w:rsid w:val="6E2573F2"/>
    <w:rsid w:val="6E2809EB"/>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31557"/>
    <w:rsid w:val="6EF632B9"/>
    <w:rsid w:val="6EFB2B08"/>
    <w:rsid w:val="6EFB6912"/>
    <w:rsid w:val="6EFC3116"/>
    <w:rsid w:val="6F0303A8"/>
    <w:rsid w:val="6F0C63D7"/>
    <w:rsid w:val="6F0E6EA0"/>
    <w:rsid w:val="6F0E7B8B"/>
    <w:rsid w:val="6F24560B"/>
    <w:rsid w:val="6F250967"/>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3A942"/>
    <w:rsid w:val="6FB7533C"/>
    <w:rsid w:val="6FBD44AB"/>
    <w:rsid w:val="6FC61949"/>
    <w:rsid w:val="6FCE771B"/>
    <w:rsid w:val="6FD14A24"/>
    <w:rsid w:val="6FD80473"/>
    <w:rsid w:val="6FD842D4"/>
    <w:rsid w:val="6FE0254F"/>
    <w:rsid w:val="6FE66281"/>
    <w:rsid w:val="6FE82829"/>
    <w:rsid w:val="6FF80816"/>
    <w:rsid w:val="6FFBF45B"/>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1FFF305"/>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CE2959"/>
    <w:rsid w:val="72DF2D54"/>
    <w:rsid w:val="72E74987"/>
    <w:rsid w:val="72F36F06"/>
    <w:rsid w:val="72F42BA6"/>
    <w:rsid w:val="72F96FC3"/>
    <w:rsid w:val="72FA494D"/>
    <w:rsid w:val="730243B3"/>
    <w:rsid w:val="731044FE"/>
    <w:rsid w:val="7321765C"/>
    <w:rsid w:val="73337CF8"/>
    <w:rsid w:val="73391467"/>
    <w:rsid w:val="734202CC"/>
    <w:rsid w:val="73486B09"/>
    <w:rsid w:val="734A78BD"/>
    <w:rsid w:val="73534DF4"/>
    <w:rsid w:val="736173E3"/>
    <w:rsid w:val="7363222B"/>
    <w:rsid w:val="736C3816"/>
    <w:rsid w:val="736E68EE"/>
    <w:rsid w:val="736F76A9"/>
    <w:rsid w:val="73702680"/>
    <w:rsid w:val="73721F07"/>
    <w:rsid w:val="737A7603"/>
    <w:rsid w:val="737D693A"/>
    <w:rsid w:val="73871F56"/>
    <w:rsid w:val="73872ED1"/>
    <w:rsid w:val="738F1601"/>
    <w:rsid w:val="73992BDC"/>
    <w:rsid w:val="73A40A5F"/>
    <w:rsid w:val="73A47EFB"/>
    <w:rsid w:val="73AA0B80"/>
    <w:rsid w:val="73BA1774"/>
    <w:rsid w:val="73BD0ECB"/>
    <w:rsid w:val="73C064F4"/>
    <w:rsid w:val="73C42BD2"/>
    <w:rsid w:val="73C4341B"/>
    <w:rsid w:val="73D87220"/>
    <w:rsid w:val="73E16E48"/>
    <w:rsid w:val="73F77ED0"/>
    <w:rsid w:val="73F79C6A"/>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0F1FCC"/>
    <w:rsid w:val="751550D8"/>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67A8C"/>
    <w:rsid w:val="75A42F6D"/>
    <w:rsid w:val="75A77B96"/>
    <w:rsid w:val="75AF5CF5"/>
    <w:rsid w:val="75D65EDE"/>
    <w:rsid w:val="75D82A72"/>
    <w:rsid w:val="75E0573C"/>
    <w:rsid w:val="75E746A2"/>
    <w:rsid w:val="75F23D58"/>
    <w:rsid w:val="75F26586"/>
    <w:rsid w:val="75F7301D"/>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D49B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DF496F"/>
    <w:rsid w:val="77EFA966"/>
    <w:rsid w:val="77FC7EA1"/>
    <w:rsid w:val="77FF1A8B"/>
    <w:rsid w:val="78030BB3"/>
    <w:rsid w:val="780C4D7B"/>
    <w:rsid w:val="78183D62"/>
    <w:rsid w:val="781E5BB3"/>
    <w:rsid w:val="78291A3D"/>
    <w:rsid w:val="78376779"/>
    <w:rsid w:val="7840644C"/>
    <w:rsid w:val="784844F0"/>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853344"/>
    <w:rsid w:val="7A9149C4"/>
    <w:rsid w:val="7A930150"/>
    <w:rsid w:val="7A972572"/>
    <w:rsid w:val="7AA253BA"/>
    <w:rsid w:val="7AA34AEB"/>
    <w:rsid w:val="7ADE6CE8"/>
    <w:rsid w:val="7AEB63DD"/>
    <w:rsid w:val="7AF32198"/>
    <w:rsid w:val="7B0B6E35"/>
    <w:rsid w:val="7B17071C"/>
    <w:rsid w:val="7B172610"/>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33245"/>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3E5ADD"/>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A60DF8"/>
    <w:rsid w:val="7DB4614C"/>
    <w:rsid w:val="7DBF1D7F"/>
    <w:rsid w:val="7DC9253D"/>
    <w:rsid w:val="7DE37918"/>
    <w:rsid w:val="7DE750E1"/>
    <w:rsid w:val="7DF232D8"/>
    <w:rsid w:val="7DF44714"/>
    <w:rsid w:val="7DFC6FC2"/>
    <w:rsid w:val="7E135DA3"/>
    <w:rsid w:val="7E175904"/>
    <w:rsid w:val="7E2D3630"/>
    <w:rsid w:val="7E2F2179"/>
    <w:rsid w:val="7E314AA9"/>
    <w:rsid w:val="7E3225E2"/>
    <w:rsid w:val="7E352319"/>
    <w:rsid w:val="7E41672B"/>
    <w:rsid w:val="7E564D83"/>
    <w:rsid w:val="7E5D4B58"/>
    <w:rsid w:val="7E691AAA"/>
    <w:rsid w:val="7E755EAD"/>
    <w:rsid w:val="7E784DF4"/>
    <w:rsid w:val="7E7E54AA"/>
    <w:rsid w:val="7E7F6B70"/>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7F49FD"/>
    <w:rsid w:val="7F8117EC"/>
    <w:rsid w:val="7F817243"/>
    <w:rsid w:val="7F890CD0"/>
    <w:rsid w:val="7F8F3A6E"/>
    <w:rsid w:val="7F9E0549"/>
    <w:rsid w:val="7FA42036"/>
    <w:rsid w:val="7FC9636E"/>
    <w:rsid w:val="7FCD746C"/>
    <w:rsid w:val="7FD81D4E"/>
    <w:rsid w:val="7FE02A21"/>
    <w:rsid w:val="7FF47517"/>
    <w:rsid w:val="7FF6033D"/>
    <w:rsid w:val="7FF7676B"/>
    <w:rsid w:val="7FFB6B53"/>
    <w:rsid w:val="7FFF6D18"/>
    <w:rsid w:val="AF5F3213"/>
    <w:rsid w:val="BD775988"/>
    <w:rsid w:val="BDDF8850"/>
    <w:rsid w:val="CEFE1B0F"/>
    <w:rsid w:val="D1DB143C"/>
    <w:rsid w:val="D8DBDFCB"/>
    <w:rsid w:val="D91B62D2"/>
    <w:rsid w:val="DF3D31A9"/>
    <w:rsid w:val="DFB51B1F"/>
    <w:rsid w:val="DFBFE82A"/>
    <w:rsid w:val="DFCFE88C"/>
    <w:rsid w:val="EB7E5AE3"/>
    <w:rsid w:val="ED7FAE99"/>
    <w:rsid w:val="FBFD3E1C"/>
    <w:rsid w:val="FF6AD12C"/>
    <w:rsid w:val="FFBDF923"/>
    <w:rsid w:val="FFEFC4A9"/>
    <w:rsid w:val="FFEFFDBD"/>
    <w:rsid w:val="FFFCE37D"/>
    <w:rsid w:val="FFFFC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image" Target="media/image9.png"/><Relationship Id="rId15" Type="http://schemas.openxmlformats.org/officeDocument/2006/relationships/oleObject" Target="embeddings/oleObject2.bin"/><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oleObject" Target="embeddings/oleObject1.bin"/><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2702</Words>
  <Characters>15407</Characters>
  <Lines>128</Lines>
  <Paragraphs>36</Paragraphs>
  <TotalTime>104</TotalTime>
  <ScaleCrop>false</ScaleCrop>
  <LinksUpToDate>false</LinksUpToDate>
  <CharactersWithSpaces>18073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2021-08-07T11:57:00Z</dcterms:created>
  <dc:creator>ZTE</dc:creator>
  <cp:lastModifiedBy>ZTE-Yang Ling</cp:lastModifiedBy>
  <cp:lastPrinted>2018-02-19T07:29:00Z</cp:lastPrinted>
  <dcterms:modified xsi:type="dcterms:W3CDTF">2021-11-05T07:40:43Z</dcterms:modified>
  <dc:title>3GPP TSG RAN WG1 #102-e	R1-20xxxxx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